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1AE" w:rsidRPr="00A3109C" w:rsidRDefault="00136C3A" w:rsidP="000707AC">
      <w:pPr>
        <w:spacing w:after="0" w:line="360" w:lineRule="auto"/>
        <w:jc w:val="both"/>
        <w:rPr>
          <w:rFonts w:asciiTheme="minorHAnsi" w:hAnsiTheme="minorHAnsi" w:cstheme="minorHAnsi"/>
          <w:b/>
        </w:rPr>
      </w:pPr>
      <w:bookmarkStart w:id="0" w:name="_GoBack"/>
      <w:r w:rsidRPr="00A3109C">
        <w:rPr>
          <w:rFonts w:asciiTheme="minorHAnsi" w:hAnsiTheme="minorHAnsi" w:cstheme="minorHAnsi"/>
          <w:b/>
        </w:rPr>
        <w:t>Zgłoszenie wierzytelności – FAQ:</w:t>
      </w:r>
    </w:p>
    <w:p w:rsidR="00136C3A" w:rsidRPr="00A3109C" w:rsidRDefault="00136C3A" w:rsidP="000707AC">
      <w:pPr>
        <w:spacing w:after="0" w:line="360" w:lineRule="auto"/>
        <w:jc w:val="both"/>
        <w:rPr>
          <w:rFonts w:asciiTheme="minorHAnsi" w:hAnsiTheme="minorHAnsi" w:cstheme="minorHAnsi"/>
          <w:b/>
        </w:rPr>
      </w:pPr>
    </w:p>
    <w:p w:rsidR="00136C3A" w:rsidRPr="00A3109C" w:rsidRDefault="00136C3A" w:rsidP="000707AC">
      <w:pPr>
        <w:pStyle w:val="Akapitzlist"/>
        <w:numPr>
          <w:ilvl w:val="0"/>
          <w:numId w:val="1"/>
        </w:numPr>
        <w:spacing w:after="0" w:line="360" w:lineRule="auto"/>
        <w:ind w:left="567" w:hanging="567"/>
        <w:jc w:val="both"/>
        <w:rPr>
          <w:rFonts w:asciiTheme="minorHAnsi" w:hAnsiTheme="minorHAnsi" w:cstheme="minorHAnsi"/>
          <w:b/>
        </w:rPr>
      </w:pPr>
      <w:r w:rsidRPr="00A3109C">
        <w:rPr>
          <w:rFonts w:asciiTheme="minorHAnsi" w:hAnsiTheme="minorHAnsi" w:cstheme="minorHAnsi"/>
          <w:b/>
        </w:rPr>
        <w:t>W jaki sposób dokonać zgłoszenia wierzytelności?</w:t>
      </w:r>
    </w:p>
    <w:p w:rsidR="008414FE" w:rsidRPr="00A3109C" w:rsidRDefault="008414FE" w:rsidP="000707AC">
      <w:pPr>
        <w:spacing w:after="0" w:line="360" w:lineRule="auto"/>
        <w:jc w:val="both"/>
        <w:rPr>
          <w:rFonts w:asciiTheme="minorHAnsi" w:hAnsiTheme="minorHAnsi" w:cstheme="minorHAnsi"/>
          <w:b/>
        </w:rPr>
      </w:pPr>
    </w:p>
    <w:p w:rsidR="008414FE" w:rsidRPr="00A3109C" w:rsidRDefault="008414FE" w:rsidP="000707AC">
      <w:pPr>
        <w:spacing w:after="0" w:line="360" w:lineRule="auto"/>
        <w:jc w:val="both"/>
        <w:rPr>
          <w:rFonts w:asciiTheme="minorHAnsi" w:hAnsiTheme="minorHAnsi" w:cstheme="minorHAnsi"/>
          <w:bCs/>
        </w:rPr>
      </w:pPr>
      <w:r w:rsidRPr="00A3109C">
        <w:rPr>
          <w:rFonts w:asciiTheme="minorHAnsi" w:hAnsiTheme="minorHAnsi" w:cstheme="minorHAnsi"/>
          <w:bCs/>
        </w:rPr>
        <w:t xml:space="preserve">Zgłoszenia wierzytelności należy dokonać w terminie 30 dni od daty obwieszczenia o ogłoszeniu upadłości w Monitorze Sadowym i Gospodarczym, </w:t>
      </w:r>
      <w:r w:rsidRPr="00A3109C">
        <w:rPr>
          <w:rFonts w:asciiTheme="minorHAnsi" w:hAnsiTheme="minorHAnsi" w:cstheme="minorHAnsi"/>
          <w:bCs/>
          <w:u w:val="single"/>
        </w:rPr>
        <w:t>na piśmie w dwóch egzemplarzach</w:t>
      </w:r>
      <w:r w:rsidRPr="00A3109C">
        <w:rPr>
          <w:rFonts w:asciiTheme="minorHAnsi" w:hAnsiTheme="minorHAnsi" w:cstheme="minorHAnsi"/>
          <w:bCs/>
        </w:rPr>
        <w:t xml:space="preserve"> sędziemu - komisarzowi ASR Agnieszce Kraszewskiej, na adres: </w:t>
      </w:r>
    </w:p>
    <w:p w:rsidR="008414FE" w:rsidRPr="00A3109C" w:rsidRDefault="008414FE" w:rsidP="000707AC">
      <w:pPr>
        <w:spacing w:after="0" w:line="360" w:lineRule="auto"/>
        <w:jc w:val="both"/>
        <w:rPr>
          <w:rFonts w:asciiTheme="minorHAnsi" w:hAnsiTheme="minorHAnsi" w:cstheme="minorHAnsi"/>
          <w:bCs/>
        </w:rPr>
      </w:pPr>
    </w:p>
    <w:p w:rsidR="008414FE" w:rsidRPr="00A3109C" w:rsidRDefault="008414FE" w:rsidP="000707AC">
      <w:pPr>
        <w:spacing w:after="0" w:line="360" w:lineRule="auto"/>
        <w:jc w:val="both"/>
        <w:rPr>
          <w:rFonts w:asciiTheme="minorHAnsi" w:hAnsiTheme="minorHAnsi" w:cstheme="minorHAnsi"/>
          <w:bCs/>
        </w:rPr>
      </w:pPr>
      <w:r w:rsidRPr="00A3109C">
        <w:rPr>
          <w:rFonts w:asciiTheme="minorHAnsi" w:hAnsiTheme="minorHAnsi" w:cstheme="minorHAnsi"/>
          <w:bCs/>
        </w:rPr>
        <w:t>ASR Agnieszka Kraszewska</w:t>
      </w:r>
    </w:p>
    <w:p w:rsidR="008414FE" w:rsidRPr="00A3109C" w:rsidRDefault="008414FE" w:rsidP="000707AC">
      <w:pPr>
        <w:spacing w:after="0" w:line="360" w:lineRule="auto"/>
        <w:jc w:val="both"/>
        <w:rPr>
          <w:rFonts w:asciiTheme="minorHAnsi" w:hAnsiTheme="minorHAnsi" w:cstheme="minorHAnsi"/>
          <w:bCs/>
        </w:rPr>
      </w:pPr>
      <w:r w:rsidRPr="00A3109C">
        <w:rPr>
          <w:rFonts w:asciiTheme="minorHAnsi" w:hAnsiTheme="minorHAnsi" w:cstheme="minorHAnsi"/>
          <w:bCs/>
        </w:rPr>
        <w:t>Sąd Rejonowy dla m.st. Warszawy w Warszawie</w:t>
      </w:r>
    </w:p>
    <w:p w:rsidR="008414FE" w:rsidRPr="00A3109C" w:rsidRDefault="008414FE" w:rsidP="000707AC">
      <w:pPr>
        <w:spacing w:after="0" w:line="360" w:lineRule="auto"/>
        <w:jc w:val="both"/>
        <w:rPr>
          <w:rFonts w:asciiTheme="minorHAnsi" w:hAnsiTheme="minorHAnsi" w:cstheme="minorHAnsi"/>
          <w:bCs/>
        </w:rPr>
      </w:pPr>
      <w:r w:rsidRPr="00A3109C">
        <w:rPr>
          <w:rFonts w:asciiTheme="minorHAnsi" w:hAnsiTheme="minorHAnsi" w:cstheme="minorHAnsi"/>
          <w:bCs/>
        </w:rPr>
        <w:t>X Wydział Gospodarczy dla spraw upadłościowych i restrukturyzacyjnych</w:t>
      </w:r>
    </w:p>
    <w:p w:rsidR="008414FE" w:rsidRPr="00A3109C" w:rsidRDefault="008414FE" w:rsidP="000707AC">
      <w:pPr>
        <w:spacing w:after="0" w:line="360" w:lineRule="auto"/>
        <w:jc w:val="both"/>
        <w:rPr>
          <w:rFonts w:asciiTheme="minorHAnsi" w:hAnsiTheme="minorHAnsi" w:cstheme="minorHAnsi"/>
          <w:bCs/>
        </w:rPr>
      </w:pPr>
      <w:r w:rsidRPr="00A3109C">
        <w:rPr>
          <w:rFonts w:asciiTheme="minorHAnsi" w:hAnsiTheme="minorHAnsi" w:cstheme="minorHAnsi"/>
          <w:bCs/>
        </w:rPr>
        <w:t>ul. Czerniakowska 100 A; 00 - 454 Warszawa</w:t>
      </w:r>
    </w:p>
    <w:p w:rsidR="008414FE" w:rsidRPr="00A3109C" w:rsidRDefault="008414FE" w:rsidP="000707AC">
      <w:pPr>
        <w:spacing w:after="0" w:line="360" w:lineRule="auto"/>
        <w:jc w:val="both"/>
        <w:rPr>
          <w:rFonts w:asciiTheme="minorHAnsi" w:hAnsiTheme="minorHAnsi" w:cstheme="minorHAnsi"/>
        </w:rPr>
      </w:pPr>
      <w:r w:rsidRPr="00A3109C">
        <w:rPr>
          <w:rFonts w:asciiTheme="minorHAnsi" w:hAnsiTheme="minorHAnsi" w:cstheme="minorHAnsi"/>
          <w:bCs/>
        </w:rPr>
        <w:t xml:space="preserve">podając sygnaturę akt X </w:t>
      </w:r>
      <w:proofErr w:type="spellStart"/>
      <w:r w:rsidRPr="00A3109C">
        <w:rPr>
          <w:rFonts w:asciiTheme="minorHAnsi" w:hAnsiTheme="minorHAnsi" w:cstheme="minorHAnsi"/>
          <w:bCs/>
        </w:rPr>
        <w:t>GUp</w:t>
      </w:r>
      <w:proofErr w:type="spellEnd"/>
      <w:r w:rsidRPr="00A3109C">
        <w:rPr>
          <w:rFonts w:asciiTheme="minorHAnsi" w:hAnsiTheme="minorHAnsi" w:cstheme="minorHAnsi"/>
          <w:bCs/>
        </w:rPr>
        <w:t xml:space="preserve"> 732/18. </w:t>
      </w:r>
    </w:p>
    <w:p w:rsidR="008414FE" w:rsidRPr="00A3109C" w:rsidRDefault="008414FE" w:rsidP="000707AC">
      <w:pPr>
        <w:pStyle w:val="tekwz"/>
        <w:tabs>
          <w:tab w:val="clear" w:pos="1134"/>
          <w:tab w:val="clear" w:pos="1701"/>
          <w:tab w:val="clear" w:pos="2268"/>
          <w:tab w:val="clear" w:pos="2835"/>
          <w:tab w:val="clear" w:pos="3402"/>
          <w:tab w:val="clear" w:pos="3969"/>
          <w:tab w:val="clear" w:pos="4535"/>
          <w:tab w:val="clear" w:pos="5102"/>
          <w:tab w:val="clear" w:pos="5669"/>
          <w:tab w:val="clear" w:pos="6236"/>
          <w:tab w:val="clear" w:pos="6803"/>
        </w:tabs>
        <w:spacing w:after="0" w:line="360" w:lineRule="auto"/>
        <w:ind w:left="0" w:right="0"/>
        <w:rPr>
          <w:rFonts w:asciiTheme="minorHAnsi" w:hAnsiTheme="minorHAnsi" w:cstheme="minorHAnsi"/>
          <w:color w:val="00000A"/>
          <w:sz w:val="22"/>
          <w:szCs w:val="22"/>
          <w:u w:val="single"/>
        </w:rPr>
      </w:pPr>
    </w:p>
    <w:p w:rsidR="008414FE" w:rsidRPr="00A3109C" w:rsidRDefault="008414FE" w:rsidP="000707AC">
      <w:pPr>
        <w:pStyle w:val="tekwz"/>
        <w:tabs>
          <w:tab w:val="clear" w:pos="1134"/>
          <w:tab w:val="clear" w:pos="1701"/>
          <w:tab w:val="clear" w:pos="2268"/>
          <w:tab w:val="clear" w:pos="2835"/>
          <w:tab w:val="clear" w:pos="3402"/>
          <w:tab w:val="clear" w:pos="3969"/>
          <w:tab w:val="clear" w:pos="4535"/>
          <w:tab w:val="clear" w:pos="5102"/>
          <w:tab w:val="clear" w:pos="5669"/>
          <w:tab w:val="clear" w:pos="6236"/>
          <w:tab w:val="clear" w:pos="6803"/>
        </w:tabs>
        <w:spacing w:after="0" w:line="360" w:lineRule="auto"/>
        <w:ind w:left="0" w:right="0"/>
        <w:rPr>
          <w:rFonts w:asciiTheme="minorHAnsi" w:hAnsiTheme="minorHAnsi" w:cstheme="minorHAnsi"/>
          <w:color w:val="00000A"/>
          <w:sz w:val="22"/>
          <w:szCs w:val="22"/>
        </w:rPr>
      </w:pPr>
      <w:r w:rsidRPr="00A3109C">
        <w:rPr>
          <w:rFonts w:asciiTheme="minorHAnsi" w:hAnsiTheme="minorHAnsi" w:cstheme="minorHAnsi"/>
          <w:bCs/>
          <w:color w:val="00000A"/>
          <w:sz w:val="22"/>
          <w:szCs w:val="22"/>
        </w:rPr>
        <w:t>Zgłoszenie wierzytelności należy sporządzić wg wzoru, który stanowi załącznik nr 1 do Rozporządzenia Ministra Sprawiedliwości z dnia 17 grudnia 2015 r. w sprawie określenia wzoru pisemnego zgłoszenia wierzytelności za pośrednictwem rejestru (Dz. U. 2015 poz. 2240).</w:t>
      </w:r>
      <w:r w:rsidRPr="00A3109C">
        <w:rPr>
          <w:rFonts w:asciiTheme="minorHAnsi" w:hAnsiTheme="minorHAnsi" w:cstheme="minorHAnsi"/>
          <w:color w:val="00000A"/>
          <w:sz w:val="22"/>
          <w:szCs w:val="22"/>
        </w:rPr>
        <w:t xml:space="preserve"> Wzór zgłoszenia wierzytelności dostępny jest online pod adresem: </w:t>
      </w:r>
      <w:hyperlink r:id="rId5" w:history="1">
        <w:r w:rsidRPr="00A3109C">
          <w:rPr>
            <w:rStyle w:val="Hipercze"/>
            <w:rFonts w:asciiTheme="minorHAnsi" w:hAnsiTheme="minorHAnsi" w:cstheme="minorHAnsi"/>
            <w:sz w:val="22"/>
            <w:szCs w:val="22"/>
          </w:rPr>
          <w:t>https://www.ms.gov.pl/pl/restrukturyzacja-i-upadlosc/wzory-stosowane-w-postepowaniu-upadlosciowym/</w:t>
        </w:r>
      </w:hyperlink>
    </w:p>
    <w:p w:rsidR="00A3109C" w:rsidRPr="00A3109C" w:rsidRDefault="00A3109C" w:rsidP="000707AC">
      <w:pPr>
        <w:spacing w:after="0" w:line="360" w:lineRule="auto"/>
        <w:jc w:val="both"/>
        <w:rPr>
          <w:rFonts w:asciiTheme="minorHAnsi" w:hAnsiTheme="minorHAnsi" w:cstheme="minorHAnsi"/>
          <w:b/>
        </w:rPr>
      </w:pPr>
    </w:p>
    <w:p w:rsidR="000057C4" w:rsidRPr="00A3109C" w:rsidRDefault="000057C4" w:rsidP="000707AC">
      <w:pPr>
        <w:spacing w:after="0" w:line="360" w:lineRule="auto"/>
        <w:jc w:val="both"/>
        <w:rPr>
          <w:rFonts w:asciiTheme="minorHAnsi" w:hAnsiTheme="minorHAnsi" w:cstheme="minorHAnsi"/>
        </w:rPr>
      </w:pPr>
      <w:r w:rsidRPr="00A3109C">
        <w:rPr>
          <w:rFonts w:asciiTheme="minorHAnsi" w:hAnsiTheme="minorHAnsi" w:cstheme="minorHAnsi"/>
        </w:rPr>
        <w:t xml:space="preserve">W niniejszej sprawie obwieszczenie o ogłoszeniu upadłości zostało opublikowane w </w:t>
      </w:r>
      <w:r w:rsidRPr="00A3109C">
        <w:rPr>
          <w:rFonts w:asciiTheme="minorHAnsi" w:hAnsiTheme="minorHAnsi" w:cstheme="minorHAnsi"/>
          <w:bCs/>
        </w:rPr>
        <w:t xml:space="preserve">Monitorze Sadowym i Gospodarczym Numer 168/2018 (5556) z 30 sierpnia 2018 r. (pozycja 37645). </w:t>
      </w:r>
    </w:p>
    <w:p w:rsidR="008414FE" w:rsidRPr="00A3109C" w:rsidRDefault="008414FE" w:rsidP="000707AC">
      <w:pPr>
        <w:spacing w:after="0" w:line="360" w:lineRule="auto"/>
        <w:jc w:val="both"/>
        <w:rPr>
          <w:rFonts w:asciiTheme="minorHAnsi" w:hAnsiTheme="minorHAnsi" w:cstheme="minorHAnsi"/>
        </w:rPr>
      </w:pPr>
    </w:p>
    <w:p w:rsidR="00D94922" w:rsidRPr="00A3109C" w:rsidRDefault="00D94922" w:rsidP="000707AC">
      <w:pPr>
        <w:pStyle w:val="Akapitzlist"/>
        <w:numPr>
          <w:ilvl w:val="0"/>
          <w:numId w:val="1"/>
        </w:numPr>
        <w:spacing w:after="0" w:line="360" w:lineRule="auto"/>
        <w:ind w:left="567" w:hanging="567"/>
        <w:jc w:val="both"/>
        <w:rPr>
          <w:rFonts w:asciiTheme="minorHAnsi" w:hAnsiTheme="minorHAnsi" w:cstheme="minorHAnsi"/>
        </w:rPr>
      </w:pPr>
      <w:r w:rsidRPr="00A3109C">
        <w:rPr>
          <w:rFonts w:asciiTheme="minorHAnsi" w:hAnsiTheme="minorHAnsi" w:cstheme="minorHAnsi"/>
          <w:b/>
        </w:rPr>
        <w:t>Czy zgłoszenie wierzytelności podlega opłacie?</w:t>
      </w:r>
    </w:p>
    <w:p w:rsidR="00D94922" w:rsidRPr="00A3109C" w:rsidRDefault="00D94922" w:rsidP="000707AC">
      <w:pPr>
        <w:pStyle w:val="Akapitzlist"/>
        <w:spacing w:after="0" w:line="360" w:lineRule="auto"/>
        <w:ind w:left="567"/>
        <w:jc w:val="both"/>
        <w:rPr>
          <w:rFonts w:asciiTheme="minorHAnsi" w:hAnsiTheme="minorHAnsi" w:cstheme="minorHAnsi"/>
        </w:rPr>
      </w:pPr>
    </w:p>
    <w:p w:rsidR="00D94922" w:rsidRPr="00A3109C" w:rsidRDefault="00D94922" w:rsidP="000707AC">
      <w:pPr>
        <w:spacing w:after="0" w:line="360" w:lineRule="auto"/>
        <w:jc w:val="both"/>
        <w:rPr>
          <w:rFonts w:asciiTheme="minorHAnsi" w:hAnsiTheme="minorHAnsi" w:cstheme="minorHAnsi"/>
        </w:rPr>
      </w:pPr>
      <w:r w:rsidRPr="00A3109C">
        <w:rPr>
          <w:rFonts w:asciiTheme="minorHAnsi" w:hAnsiTheme="minorHAnsi" w:cstheme="minorHAnsi"/>
        </w:rPr>
        <w:t>Zgłoszenie wierzytelności nie podlega opłacie.</w:t>
      </w:r>
    </w:p>
    <w:p w:rsidR="00D94922" w:rsidRPr="00A3109C" w:rsidRDefault="00D94922" w:rsidP="000707AC">
      <w:pPr>
        <w:spacing w:after="0" w:line="360" w:lineRule="auto"/>
        <w:jc w:val="both"/>
        <w:rPr>
          <w:rFonts w:asciiTheme="minorHAnsi" w:hAnsiTheme="minorHAnsi" w:cstheme="minorHAnsi"/>
          <w:b/>
        </w:rPr>
      </w:pPr>
    </w:p>
    <w:p w:rsidR="00D94922" w:rsidRPr="00A3109C" w:rsidRDefault="00D94922" w:rsidP="000707AC">
      <w:pPr>
        <w:spacing w:after="0" w:line="360" w:lineRule="auto"/>
        <w:jc w:val="both"/>
        <w:rPr>
          <w:rFonts w:asciiTheme="minorHAnsi" w:hAnsiTheme="minorHAnsi" w:cstheme="minorHAnsi"/>
        </w:rPr>
      </w:pPr>
      <w:r w:rsidRPr="00A3109C">
        <w:rPr>
          <w:rFonts w:asciiTheme="minorHAnsi" w:hAnsiTheme="minorHAnsi" w:cstheme="minorHAnsi"/>
        </w:rPr>
        <w:t>Należy jednak pamiętać, że koszty postępowania upadłościowego wynikłe ze zgłoszenia wierzytelności przez wierzyciela po upływie terminu wyznaczonego do zgłaszania wierzytelności, nawet jeżeli opóźnienie powstało bez winy wierzyciela, ponosi wierzyciel, który zgłosił wierzytelność po terminie.</w:t>
      </w:r>
    </w:p>
    <w:p w:rsidR="00D94922" w:rsidRPr="00A3109C" w:rsidRDefault="00D94922" w:rsidP="000707AC">
      <w:pPr>
        <w:pStyle w:val="Akapitzlist"/>
        <w:spacing w:after="0" w:line="360" w:lineRule="auto"/>
        <w:ind w:left="567"/>
        <w:jc w:val="both"/>
        <w:rPr>
          <w:rFonts w:asciiTheme="minorHAnsi" w:hAnsiTheme="minorHAnsi" w:cstheme="minorHAnsi"/>
          <w:b/>
        </w:rPr>
      </w:pPr>
    </w:p>
    <w:p w:rsidR="009A180E" w:rsidRPr="009A180E" w:rsidRDefault="009A180E" w:rsidP="000707AC">
      <w:pPr>
        <w:pStyle w:val="tekwz"/>
        <w:numPr>
          <w:ilvl w:val="0"/>
          <w:numId w:val="1"/>
        </w:numPr>
        <w:tabs>
          <w:tab w:val="clear" w:pos="1134"/>
          <w:tab w:val="clear" w:pos="1701"/>
          <w:tab w:val="clear" w:pos="2268"/>
          <w:tab w:val="clear" w:pos="2835"/>
          <w:tab w:val="clear" w:pos="3402"/>
          <w:tab w:val="clear" w:pos="3969"/>
          <w:tab w:val="clear" w:pos="4535"/>
          <w:tab w:val="clear" w:pos="5102"/>
          <w:tab w:val="clear" w:pos="5669"/>
          <w:tab w:val="clear" w:pos="6236"/>
          <w:tab w:val="clear" w:pos="6803"/>
        </w:tabs>
        <w:spacing w:after="0" w:line="360" w:lineRule="auto"/>
        <w:ind w:left="567" w:right="0" w:hanging="567"/>
        <w:rPr>
          <w:rFonts w:asciiTheme="minorHAnsi" w:hAnsiTheme="minorHAnsi" w:cstheme="minorHAnsi"/>
          <w:i/>
          <w:iCs/>
          <w:color w:val="000000"/>
          <w:sz w:val="22"/>
          <w:szCs w:val="22"/>
        </w:rPr>
      </w:pPr>
      <w:r>
        <w:rPr>
          <w:rFonts w:asciiTheme="minorHAnsi" w:hAnsiTheme="minorHAnsi" w:cstheme="minorHAnsi"/>
          <w:b/>
          <w:iCs/>
          <w:color w:val="000000"/>
          <w:sz w:val="22"/>
          <w:szCs w:val="22"/>
        </w:rPr>
        <w:t xml:space="preserve">Czy poza zgłoszeniem należy dołączyć inne dokumenty? </w:t>
      </w:r>
    </w:p>
    <w:p w:rsidR="009A180E" w:rsidRDefault="009A180E" w:rsidP="000707AC">
      <w:pPr>
        <w:pStyle w:val="tekwz"/>
        <w:tabs>
          <w:tab w:val="clear" w:pos="1134"/>
          <w:tab w:val="clear" w:pos="1701"/>
          <w:tab w:val="clear" w:pos="2268"/>
          <w:tab w:val="clear" w:pos="2835"/>
          <w:tab w:val="clear" w:pos="3402"/>
          <w:tab w:val="clear" w:pos="3969"/>
          <w:tab w:val="clear" w:pos="4535"/>
          <w:tab w:val="clear" w:pos="5102"/>
          <w:tab w:val="clear" w:pos="5669"/>
          <w:tab w:val="clear" w:pos="6236"/>
          <w:tab w:val="clear" w:pos="6803"/>
        </w:tabs>
        <w:spacing w:after="0" w:line="360" w:lineRule="auto"/>
        <w:ind w:left="0" w:right="0"/>
        <w:rPr>
          <w:rFonts w:asciiTheme="minorHAnsi" w:hAnsiTheme="minorHAnsi" w:cstheme="minorHAnsi"/>
          <w:i/>
          <w:iCs/>
          <w:color w:val="000000"/>
          <w:sz w:val="22"/>
          <w:szCs w:val="22"/>
        </w:rPr>
      </w:pPr>
    </w:p>
    <w:p w:rsidR="009A180E" w:rsidRPr="009A180E" w:rsidRDefault="009A180E" w:rsidP="000707AC">
      <w:pPr>
        <w:pStyle w:val="tekwz"/>
        <w:tabs>
          <w:tab w:val="clear" w:pos="1134"/>
          <w:tab w:val="clear" w:pos="1701"/>
          <w:tab w:val="clear" w:pos="2268"/>
          <w:tab w:val="clear" w:pos="2835"/>
          <w:tab w:val="clear" w:pos="3402"/>
          <w:tab w:val="clear" w:pos="3969"/>
          <w:tab w:val="clear" w:pos="4535"/>
          <w:tab w:val="clear" w:pos="5102"/>
          <w:tab w:val="clear" w:pos="5669"/>
          <w:tab w:val="clear" w:pos="6236"/>
          <w:tab w:val="clear" w:pos="6803"/>
        </w:tabs>
        <w:spacing w:after="0" w:line="360" w:lineRule="auto"/>
        <w:ind w:left="0" w:right="0"/>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Zgłoszenia wierzytelności dokonać należy w dwóch egzemplarzach – dotyczy to również wszelkich dokumentów (załączników składanych wraz ze zgłoszeniem). </w:t>
      </w:r>
    </w:p>
    <w:p w:rsidR="009A180E" w:rsidRPr="009A180E" w:rsidRDefault="009A180E" w:rsidP="000707AC">
      <w:pPr>
        <w:pStyle w:val="tekwz"/>
        <w:tabs>
          <w:tab w:val="clear" w:pos="1134"/>
          <w:tab w:val="clear" w:pos="1701"/>
          <w:tab w:val="clear" w:pos="2268"/>
          <w:tab w:val="clear" w:pos="2835"/>
          <w:tab w:val="clear" w:pos="3402"/>
          <w:tab w:val="clear" w:pos="3969"/>
          <w:tab w:val="clear" w:pos="4535"/>
          <w:tab w:val="clear" w:pos="5102"/>
          <w:tab w:val="clear" w:pos="5669"/>
          <w:tab w:val="clear" w:pos="6236"/>
          <w:tab w:val="clear" w:pos="6803"/>
        </w:tabs>
        <w:spacing w:after="0" w:line="360" w:lineRule="auto"/>
        <w:ind w:left="0" w:right="0"/>
        <w:rPr>
          <w:rFonts w:asciiTheme="minorHAnsi" w:hAnsiTheme="minorHAnsi" w:cstheme="minorHAnsi"/>
          <w:i/>
          <w:iCs/>
          <w:color w:val="000000"/>
          <w:sz w:val="22"/>
          <w:szCs w:val="22"/>
        </w:rPr>
      </w:pPr>
    </w:p>
    <w:p w:rsidR="009A180E" w:rsidRPr="009A180E" w:rsidRDefault="009A180E" w:rsidP="000707AC">
      <w:pPr>
        <w:pStyle w:val="tekwz"/>
        <w:tabs>
          <w:tab w:val="clear" w:pos="1134"/>
          <w:tab w:val="clear" w:pos="1701"/>
          <w:tab w:val="clear" w:pos="2268"/>
          <w:tab w:val="clear" w:pos="2835"/>
          <w:tab w:val="clear" w:pos="3402"/>
          <w:tab w:val="clear" w:pos="3969"/>
          <w:tab w:val="clear" w:pos="4535"/>
          <w:tab w:val="clear" w:pos="5102"/>
          <w:tab w:val="clear" w:pos="5669"/>
          <w:tab w:val="clear" w:pos="6236"/>
          <w:tab w:val="clear" w:pos="6803"/>
        </w:tabs>
        <w:spacing w:after="0" w:line="360" w:lineRule="auto"/>
        <w:ind w:left="0" w:right="0"/>
        <w:rPr>
          <w:rFonts w:asciiTheme="minorHAnsi" w:hAnsiTheme="minorHAnsi" w:cstheme="minorHAnsi"/>
          <w:iCs/>
          <w:color w:val="000000"/>
          <w:sz w:val="22"/>
          <w:szCs w:val="22"/>
        </w:rPr>
      </w:pPr>
      <w:r w:rsidRPr="00A3109C">
        <w:rPr>
          <w:rFonts w:asciiTheme="minorHAnsi" w:hAnsiTheme="minorHAnsi" w:cstheme="minorHAnsi"/>
          <w:sz w:val="22"/>
          <w:szCs w:val="22"/>
        </w:rPr>
        <w:t>Zgodnie z art. 239 ust. 3 u</w:t>
      </w:r>
      <w:r w:rsidRPr="00A3109C">
        <w:rPr>
          <w:rFonts w:asciiTheme="minorHAnsi" w:eastAsia="Calibri" w:hAnsiTheme="minorHAnsi" w:cstheme="minorHAnsi"/>
          <w:color w:val="00000A"/>
          <w:sz w:val="22"/>
          <w:szCs w:val="22"/>
          <w:shd w:val="clear" w:color="auto" w:fill="FFFFFF"/>
        </w:rPr>
        <w:t xml:space="preserve">stawy z dnia 28 lutego 2003 r. Prawo upadłościowe (Dz. U. 2015 poz. 233 z </w:t>
      </w:r>
      <w:proofErr w:type="spellStart"/>
      <w:r w:rsidRPr="00A3109C">
        <w:rPr>
          <w:rFonts w:asciiTheme="minorHAnsi" w:eastAsia="Calibri" w:hAnsiTheme="minorHAnsi" w:cstheme="minorHAnsi"/>
          <w:color w:val="00000A"/>
          <w:sz w:val="22"/>
          <w:szCs w:val="22"/>
          <w:shd w:val="clear" w:color="auto" w:fill="FFFFFF"/>
        </w:rPr>
        <w:t>późn</w:t>
      </w:r>
      <w:proofErr w:type="spellEnd"/>
      <w:r w:rsidRPr="00A3109C">
        <w:rPr>
          <w:rFonts w:asciiTheme="minorHAnsi" w:eastAsia="Calibri" w:hAnsiTheme="minorHAnsi" w:cstheme="minorHAnsi"/>
          <w:color w:val="00000A"/>
          <w:sz w:val="22"/>
          <w:szCs w:val="22"/>
          <w:shd w:val="clear" w:color="auto" w:fill="FFFFFF"/>
        </w:rPr>
        <w:t xml:space="preserve">. zm.), (dalej </w:t>
      </w:r>
      <w:proofErr w:type="spellStart"/>
      <w:r w:rsidRPr="00A3109C">
        <w:rPr>
          <w:rFonts w:asciiTheme="minorHAnsi" w:eastAsia="Calibri" w:hAnsiTheme="minorHAnsi" w:cstheme="minorHAnsi"/>
          <w:color w:val="00000A"/>
          <w:sz w:val="22"/>
          <w:szCs w:val="22"/>
          <w:shd w:val="clear" w:color="auto" w:fill="FFFFFF"/>
        </w:rPr>
        <w:t>p.u</w:t>
      </w:r>
      <w:proofErr w:type="spellEnd"/>
      <w:r w:rsidRPr="00A3109C">
        <w:rPr>
          <w:rFonts w:asciiTheme="minorHAnsi" w:eastAsia="Calibri" w:hAnsiTheme="minorHAnsi" w:cstheme="minorHAnsi"/>
          <w:color w:val="00000A"/>
          <w:sz w:val="22"/>
          <w:szCs w:val="22"/>
          <w:shd w:val="clear" w:color="auto" w:fill="FFFFFF"/>
        </w:rPr>
        <w:t xml:space="preserve">.) </w:t>
      </w:r>
      <w:r w:rsidRPr="00A3109C">
        <w:rPr>
          <w:rFonts w:asciiTheme="minorHAnsi" w:hAnsiTheme="minorHAnsi" w:cstheme="minorHAnsi"/>
          <w:sz w:val="22"/>
          <w:szCs w:val="22"/>
        </w:rPr>
        <w:t>,</w:t>
      </w:r>
      <w:r w:rsidRPr="00A3109C">
        <w:rPr>
          <w:rFonts w:asciiTheme="minorHAnsi" w:hAnsiTheme="minorHAnsi" w:cstheme="minorHAnsi"/>
          <w:i/>
          <w:iCs/>
          <w:sz w:val="22"/>
          <w:szCs w:val="22"/>
        </w:rPr>
        <w:t>,</w:t>
      </w:r>
      <w:r w:rsidRPr="00A3109C">
        <w:rPr>
          <w:rFonts w:asciiTheme="minorHAnsi" w:hAnsiTheme="minorHAnsi" w:cstheme="minorHAnsi"/>
          <w:i/>
          <w:iCs/>
          <w:color w:val="000000"/>
          <w:sz w:val="22"/>
          <w:szCs w:val="22"/>
        </w:rPr>
        <w:t>W zgłoszeniu wierzytelności wierzyciel wskazuje dowody uzasadniające zgłoszenie”.</w:t>
      </w:r>
      <w:r>
        <w:rPr>
          <w:rFonts w:asciiTheme="minorHAnsi" w:hAnsiTheme="minorHAnsi" w:cstheme="minorHAnsi"/>
          <w:i/>
          <w:iCs/>
          <w:color w:val="000000"/>
          <w:sz w:val="22"/>
          <w:szCs w:val="22"/>
        </w:rPr>
        <w:t xml:space="preserve"> </w:t>
      </w:r>
      <w:r>
        <w:rPr>
          <w:rFonts w:asciiTheme="minorHAnsi" w:hAnsiTheme="minorHAnsi" w:cstheme="minorHAnsi"/>
          <w:iCs/>
          <w:color w:val="000000"/>
          <w:sz w:val="22"/>
          <w:szCs w:val="22"/>
        </w:rPr>
        <w:t>Na etapie zgłoszenie nie ma zatem potrzeby przedstawiania dowodów na istnienie wierzytelności oraz jej wysokości.</w:t>
      </w:r>
    </w:p>
    <w:p w:rsidR="009A180E" w:rsidRPr="009A180E" w:rsidRDefault="009A180E" w:rsidP="000707AC">
      <w:pPr>
        <w:spacing w:after="0" w:line="360" w:lineRule="auto"/>
        <w:jc w:val="both"/>
        <w:rPr>
          <w:rFonts w:asciiTheme="minorHAnsi" w:hAnsiTheme="minorHAnsi" w:cstheme="minorHAnsi"/>
          <w:b/>
        </w:rPr>
      </w:pPr>
    </w:p>
    <w:p w:rsidR="00577B2F" w:rsidRPr="00A3109C" w:rsidRDefault="00577B2F" w:rsidP="000707AC">
      <w:pPr>
        <w:pStyle w:val="Akapitzlist"/>
        <w:numPr>
          <w:ilvl w:val="0"/>
          <w:numId w:val="1"/>
        </w:numPr>
        <w:spacing w:after="0" w:line="360" w:lineRule="auto"/>
        <w:ind w:left="567" w:hanging="567"/>
        <w:jc w:val="both"/>
        <w:rPr>
          <w:rFonts w:asciiTheme="minorHAnsi" w:hAnsiTheme="minorHAnsi" w:cstheme="minorHAnsi"/>
          <w:b/>
        </w:rPr>
      </w:pPr>
      <w:r w:rsidRPr="00A3109C">
        <w:rPr>
          <w:rFonts w:asciiTheme="minorHAnsi" w:hAnsiTheme="minorHAnsi" w:cstheme="minorHAnsi"/>
          <w:b/>
        </w:rPr>
        <w:t xml:space="preserve">Czy w zgłoszeniu wierzytelności należy również wykazać odsetki od mojej wierzytelności? </w:t>
      </w:r>
    </w:p>
    <w:p w:rsidR="00EE1E34" w:rsidRDefault="00EE1E34" w:rsidP="000707AC">
      <w:pPr>
        <w:spacing w:after="0" w:line="360" w:lineRule="auto"/>
        <w:jc w:val="both"/>
        <w:rPr>
          <w:rFonts w:asciiTheme="minorHAnsi" w:hAnsiTheme="minorHAnsi" w:cstheme="minorHAnsi"/>
          <w:b/>
        </w:rPr>
      </w:pPr>
    </w:p>
    <w:p w:rsidR="00317515" w:rsidRPr="00317515" w:rsidRDefault="00317515" w:rsidP="000707AC">
      <w:pPr>
        <w:spacing w:after="0" w:line="360" w:lineRule="auto"/>
        <w:jc w:val="both"/>
        <w:rPr>
          <w:rFonts w:asciiTheme="minorHAnsi" w:hAnsiTheme="minorHAnsi" w:cstheme="minorHAnsi"/>
        </w:rPr>
      </w:pPr>
      <w:r w:rsidRPr="00317515">
        <w:rPr>
          <w:rFonts w:asciiTheme="minorHAnsi" w:hAnsiTheme="minorHAnsi" w:cstheme="minorHAnsi"/>
        </w:rPr>
        <w:t>Z masy upadłości mogą być zaspokojone odsetki od wierzytelności, należne od upadłego, za okres do dnia ogłoszenia upadłości.</w:t>
      </w:r>
    </w:p>
    <w:p w:rsidR="00317515" w:rsidRDefault="00317515" w:rsidP="000707AC">
      <w:pPr>
        <w:spacing w:after="0" w:line="360" w:lineRule="auto"/>
        <w:jc w:val="both"/>
        <w:rPr>
          <w:rFonts w:asciiTheme="minorHAnsi" w:hAnsiTheme="minorHAnsi" w:cstheme="minorHAnsi"/>
          <w:b/>
        </w:rPr>
      </w:pPr>
    </w:p>
    <w:p w:rsidR="00317515" w:rsidRDefault="00317515" w:rsidP="000707AC">
      <w:pPr>
        <w:spacing w:after="0" w:line="360" w:lineRule="auto"/>
        <w:jc w:val="both"/>
        <w:rPr>
          <w:rFonts w:asciiTheme="minorHAnsi" w:hAnsiTheme="minorHAnsi" w:cstheme="minorHAnsi"/>
        </w:rPr>
      </w:pPr>
      <w:r w:rsidRPr="00317515">
        <w:rPr>
          <w:rFonts w:asciiTheme="minorHAnsi" w:hAnsiTheme="minorHAnsi" w:cstheme="minorHAnsi"/>
        </w:rPr>
        <w:t xml:space="preserve">Odsetki wierzyciel musi </w:t>
      </w:r>
      <w:r>
        <w:rPr>
          <w:rFonts w:asciiTheme="minorHAnsi" w:hAnsiTheme="minorHAnsi" w:cstheme="minorHAnsi"/>
        </w:rPr>
        <w:t>obliczyć</w:t>
      </w:r>
      <w:r w:rsidRPr="00317515">
        <w:rPr>
          <w:rFonts w:asciiTheme="minorHAnsi" w:hAnsiTheme="minorHAnsi" w:cstheme="minorHAnsi"/>
        </w:rPr>
        <w:t xml:space="preserve"> samodzielnie – od dnia wymagalności roszczenia do dnia poprzedzającego dzień ogłoszenia upadłości włącznie</w:t>
      </w:r>
      <w:r>
        <w:rPr>
          <w:rFonts w:asciiTheme="minorHAnsi" w:hAnsiTheme="minorHAnsi" w:cstheme="minorHAnsi"/>
        </w:rPr>
        <w:t xml:space="preserve"> – oraz jednoznacznie wskazać ich wysokość w formularz</w:t>
      </w:r>
      <w:r w:rsidR="009B7B70">
        <w:rPr>
          <w:rFonts w:asciiTheme="minorHAnsi" w:hAnsiTheme="minorHAnsi" w:cstheme="minorHAnsi"/>
        </w:rPr>
        <w:t>u</w:t>
      </w:r>
      <w:r>
        <w:rPr>
          <w:rFonts w:asciiTheme="minorHAnsi" w:hAnsiTheme="minorHAnsi" w:cstheme="minorHAnsi"/>
        </w:rPr>
        <w:t xml:space="preserve"> (niezależnie od tego, czy mowa o odsetkach ustawowych, czy umownych)</w:t>
      </w:r>
      <w:r w:rsidRPr="00317515">
        <w:rPr>
          <w:rFonts w:asciiTheme="minorHAnsi" w:hAnsiTheme="minorHAnsi" w:cstheme="minorHAnsi"/>
        </w:rPr>
        <w:t xml:space="preserve">. </w:t>
      </w:r>
    </w:p>
    <w:p w:rsidR="00317515" w:rsidRDefault="00317515" w:rsidP="000707AC">
      <w:pPr>
        <w:spacing w:after="0" w:line="360" w:lineRule="auto"/>
        <w:jc w:val="both"/>
        <w:rPr>
          <w:rFonts w:asciiTheme="minorHAnsi" w:hAnsiTheme="minorHAnsi" w:cstheme="minorHAnsi"/>
        </w:rPr>
      </w:pPr>
    </w:p>
    <w:p w:rsidR="00317515" w:rsidRPr="00317515" w:rsidRDefault="00317515" w:rsidP="000707AC">
      <w:pPr>
        <w:spacing w:after="0" w:line="360" w:lineRule="auto"/>
        <w:jc w:val="both"/>
        <w:rPr>
          <w:color w:val="333333"/>
          <w:sz w:val="21"/>
          <w:szCs w:val="21"/>
          <w:shd w:val="clear" w:color="auto" w:fill="FFFFFF"/>
        </w:rPr>
      </w:pPr>
      <w:r>
        <w:rPr>
          <w:rFonts w:asciiTheme="minorHAnsi" w:hAnsiTheme="minorHAnsi" w:cstheme="minorHAnsi"/>
        </w:rPr>
        <w:t xml:space="preserve">Ma to istotne znaczenie ze względu na treść art. 240 </w:t>
      </w:r>
      <w:proofErr w:type="spellStart"/>
      <w:r>
        <w:rPr>
          <w:rFonts w:asciiTheme="minorHAnsi" w:hAnsiTheme="minorHAnsi" w:cstheme="minorHAnsi"/>
        </w:rPr>
        <w:t>pu</w:t>
      </w:r>
      <w:proofErr w:type="spellEnd"/>
      <w:r>
        <w:rPr>
          <w:rFonts w:asciiTheme="minorHAnsi" w:hAnsiTheme="minorHAnsi" w:cstheme="minorHAnsi"/>
        </w:rPr>
        <w:t xml:space="preserve"> oraz art. 342 </w:t>
      </w:r>
      <w:proofErr w:type="spellStart"/>
      <w:r>
        <w:rPr>
          <w:rFonts w:asciiTheme="minorHAnsi" w:hAnsiTheme="minorHAnsi" w:cstheme="minorHAnsi"/>
        </w:rPr>
        <w:t>pu</w:t>
      </w:r>
      <w:proofErr w:type="spellEnd"/>
      <w:r>
        <w:rPr>
          <w:rFonts w:asciiTheme="minorHAnsi" w:hAnsiTheme="minorHAnsi" w:cstheme="minorHAnsi"/>
        </w:rPr>
        <w:t xml:space="preserve"> – odsetki podlegają zaspokojeniu w innej kategorii niż należność główna. W kategorii trzeciej zaspokojeniu podlegają bowiem o</w:t>
      </w:r>
      <w:r>
        <w:rPr>
          <w:color w:val="333333"/>
          <w:sz w:val="21"/>
          <w:szCs w:val="21"/>
          <w:shd w:val="clear" w:color="auto" w:fill="FFFFFF"/>
        </w:rPr>
        <w:t>dsetki od należności ujętych w wyższych kategoriach w kolejności, w jakiej podlega zaspokojeniu kapitał, a także sądowe i administracyjne kary grzywny oraz należności z tytułu darowizn i zapisów.</w:t>
      </w:r>
    </w:p>
    <w:p w:rsidR="00317515" w:rsidRPr="00A3109C" w:rsidRDefault="00317515" w:rsidP="000707AC">
      <w:pPr>
        <w:spacing w:after="0" w:line="360" w:lineRule="auto"/>
        <w:jc w:val="both"/>
        <w:rPr>
          <w:rFonts w:asciiTheme="minorHAnsi" w:hAnsiTheme="minorHAnsi" w:cstheme="minorHAnsi"/>
          <w:b/>
        </w:rPr>
      </w:pPr>
    </w:p>
    <w:p w:rsidR="00317515" w:rsidRDefault="00317515" w:rsidP="000707AC">
      <w:pPr>
        <w:pStyle w:val="Akapitzlist"/>
        <w:numPr>
          <w:ilvl w:val="0"/>
          <w:numId w:val="1"/>
        </w:numPr>
        <w:spacing w:after="0" w:line="360" w:lineRule="auto"/>
        <w:ind w:left="567" w:hanging="567"/>
        <w:jc w:val="both"/>
        <w:rPr>
          <w:rFonts w:asciiTheme="minorHAnsi" w:hAnsiTheme="minorHAnsi" w:cstheme="minorHAnsi"/>
          <w:b/>
        </w:rPr>
      </w:pPr>
      <w:r>
        <w:rPr>
          <w:rFonts w:asciiTheme="minorHAnsi" w:hAnsiTheme="minorHAnsi" w:cstheme="minorHAnsi"/>
          <w:b/>
        </w:rPr>
        <w:t xml:space="preserve">Czy </w:t>
      </w:r>
      <w:r w:rsidR="009A180E">
        <w:rPr>
          <w:rFonts w:asciiTheme="minorHAnsi" w:hAnsiTheme="minorHAnsi" w:cstheme="minorHAnsi"/>
          <w:b/>
        </w:rPr>
        <w:t>należności pracownicze również podlegają zgłoszeniu</w:t>
      </w:r>
      <w:r>
        <w:rPr>
          <w:rFonts w:asciiTheme="minorHAnsi" w:hAnsiTheme="minorHAnsi" w:cstheme="minorHAnsi"/>
          <w:b/>
        </w:rPr>
        <w:t>?</w:t>
      </w:r>
    </w:p>
    <w:p w:rsidR="009A180E" w:rsidRDefault="009A180E" w:rsidP="000707AC">
      <w:pPr>
        <w:spacing w:after="0" w:line="360" w:lineRule="auto"/>
        <w:jc w:val="both"/>
        <w:rPr>
          <w:rFonts w:asciiTheme="minorHAnsi" w:hAnsiTheme="minorHAnsi" w:cstheme="minorHAnsi"/>
          <w:b/>
        </w:rPr>
      </w:pPr>
    </w:p>
    <w:p w:rsidR="009A180E" w:rsidRPr="009A180E" w:rsidRDefault="009A180E" w:rsidP="000707AC">
      <w:pPr>
        <w:spacing w:after="0" w:line="360" w:lineRule="auto"/>
        <w:jc w:val="both"/>
        <w:rPr>
          <w:rFonts w:asciiTheme="minorHAnsi" w:hAnsiTheme="minorHAnsi" w:cstheme="minorHAnsi"/>
        </w:rPr>
      </w:pPr>
      <w:r w:rsidRPr="009A180E">
        <w:rPr>
          <w:rFonts w:asciiTheme="minorHAnsi" w:hAnsiTheme="minorHAnsi" w:cstheme="minorHAnsi"/>
        </w:rPr>
        <w:t>Nie wymagają zgłoszenia należności ze stosunku pracy. Należności z tego tytułu umieszcza się na liście wierzytelności z urzędu.</w:t>
      </w:r>
    </w:p>
    <w:p w:rsidR="009A180E" w:rsidRPr="009A180E" w:rsidRDefault="009A180E" w:rsidP="000707AC">
      <w:pPr>
        <w:spacing w:after="0" w:line="360" w:lineRule="auto"/>
        <w:jc w:val="both"/>
        <w:rPr>
          <w:rFonts w:asciiTheme="minorHAnsi" w:hAnsiTheme="minorHAnsi" w:cstheme="minorHAnsi"/>
          <w:b/>
        </w:rPr>
      </w:pPr>
    </w:p>
    <w:p w:rsidR="00317515" w:rsidRDefault="00317515" w:rsidP="000707AC">
      <w:pPr>
        <w:pStyle w:val="Akapitzlist"/>
        <w:numPr>
          <w:ilvl w:val="0"/>
          <w:numId w:val="1"/>
        </w:numPr>
        <w:spacing w:after="0" w:line="360" w:lineRule="auto"/>
        <w:ind w:left="567" w:hanging="567"/>
        <w:jc w:val="both"/>
        <w:rPr>
          <w:rFonts w:asciiTheme="minorHAnsi" w:hAnsiTheme="minorHAnsi" w:cstheme="minorHAnsi"/>
          <w:b/>
        </w:rPr>
      </w:pPr>
      <w:r>
        <w:rPr>
          <w:rFonts w:asciiTheme="minorHAnsi" w:hAnsiTheme="minorHAnsi" w:cstheme="minorHAnsi"/>
          <w:b/>
        </w:rPr>
        <w:t xml:space="preserve">Jakie inne wierzytelności podlegają umieszczeniu na liście z urzędu? </w:t>
      </w:r>
    </w:p>
    <w:p w:rsidR="00317515" w:rsidRDefault="00317515" w:rsidP="000707AC">
      <w:pPr>
        <w:spacing w:after="0" w:line="360" w:lineRule="auto"/>
        <w:jc w:val="both"/>
        <w:rPr>
          <w:rFonts w:asciiTheme="minorHAnsi" w:hAnsiTheme="minorHAnsi" w:cstheme="minorHAnsi"/>
          <w:b/>
        </w:rPr>
      </w:pPr>
    </w:p>
    <w:p w:rsidR="009A180E" w:rsidRPr="009A180E" w:rsidRDefault="009A180E" w:rsidP="000707AC">
      <w:pPr>
        <w:spacing w:after="0" w:line="360" w:lineRule="auto"/>
        <w:jc w:val="both"/>
        <w:rPr>
          <w:rFonts w:asciiTheme="minorHAnsi" w:hAnsiTheme="minorHAnsi" w:cstheme="minorHAnsi"/>
        </w:rPr>
      </w:pPr>
      <w:r w:rsidRPr="009A180E">
        <w:rPr>
          <w:rFonts w:asciiTheme="minorHAnsi" w:hAnsiTheme="minorHAnsi" w:cstheme="minorHAnsi"/>
        </w:rPr>
        <w:t>Uprawnienie do zgłoszenia wierzytelności przysługuje wierzycielowi ponadto, gdy jego wierzytelność była zabezpieczona hipoteką, zastawem, zastawem rejestrowym, zastawem skarbowym, hipoteką morską lub przez inny wpis w księdze wieczystej lub w rejestrze okrętowym. Jeżeli wierzyciel nie zgłosi tych wierzytelności, będą one umieszczone na liście wierzytelności z urzędu.</w:t>
      </w:r>
    </w:p>
    <w:p w:rsidR="009A180E" w:rsidRDefault="009A180E" w:rsidP="000707AC">
      <w:pPr>
        <w:spacing w:after="0" w:line="360" w:lineRule="auto"/>
        <w:jc w:val="both"/>
        <w:rPr>
          <w:rFonts w:asciiTheme="minorHAnsi" w:hAnsiTheme="minorHAnsi" w:cstheme="minorHAnsi"/>
          <w:b/>
        </w:rPr>
      </w:pPr>
    </w:p>
    <w:p w:rsidR="009A180E" w:rsidRPr="009A180E" w:rsidRDefault="009A180E" w:rsidP="000707AC">
      <w:pPr>
        <w:spacing w:after="0" w:line="360" w:lineRule="auto"/>
        <w:jc w:val="both"/>
        <w:rPr>
          <w:rFonts w:asciiTheme="minorHAnsi" w:hAnsiTheme="minorHAnsi" w:cstheme="minorHAnsi"/>
        </w:rPr>
      </w:pPr>
      <w:r>
        <w:rPr>
          <w:rFonts w:asciiTheme="minorHAnsi" w:hAnsiTheme="minorHAnsi" w:cstheme="minorHAnsi"/>
        </w:rPr>
        <w:t xml:space="preserve">Omówioną konstrukcję </w:t>
      </w:r>
      <w:r w:rsidRPr="009A180E">
        <w:rPr>
          <w:rFonts w:asciiTheme="minorHAnsi" w:hAnsiTheme="minorHAnsi" w:cstheme="minorHAnsi"/>
        </w:rPr>
        <w:t xml:space="preserve">stosuje się odpowiednio do wierzytelności zabezpieczonych hipoteką, zastawem lub zastawem rejestrowym, zastawem skarbowym, hipoteką morską na rzeczach </w:t>
      </w:r>
      <w:r w:rsidRPr="009A180E">
        <w:rPr>
          <w:rFonts w:asciiTheme="minorHAnsi" w:hAnsiTheme="minorHAnsi" w:cstheme="minorHAnsi"/>
        </w:rPr>
        <w:lastRenderedPageBreak/>
        <w:t>wchodzących w skład masy upadłości, jeżeli upadły nie jest dłużnikiem osobistym, a wierzyciel chce w postępowaniu upadłościowym dochodzić swoich roszczeń z przedmiotu zabezpieczenia.</w:t>
      </w:r>
    </w:p>
    <w:p w:rsidR="009A180E" w:rsidRPr="009A180E" w:rsidRDefault="009A180E" w:rsidP="000707AC">
      <w:pPr>
        <w:spacing w:after="0" w:line="360" w:lineRule="auto"/>
        <w:jc w:val="both"/>
        <w:rPr>
          <w:rFonts w:asciiTheme="minorHAnsi" w:hAnsiTheme="minorHAnsi" w:cstheme="minorHAnsi"/>
          <w:b/>
        </w:rPr>
      </w:pPr>
    </w:p>
    <w:p w:rsidR="00136C3A" w:rsidRPr="00A3109C" w:rsidRDefault="009526E3" w:rsidP="000707AC">
      <w:pPr>
        <w:pStyle w:val="Akapitzlist"/>
        <w:numPr>
          <w:ilvl w:val="0"/>
          <w:numId w:val="1"/>
        </w:numPr>
        <w:spacing w:after="0" w:line="360" w:lineRule="auto"/>
        <w:ind w:left="567" w:hanging="567"/>
        <w:jc w:val="both"/>
        <w:rPr>
          <w:rFonts w:asciiTheme="minorHAnsi" w:hAnsiTheme="minorHAnsi" w:cstheme="minorHAnsi"/>
          <w:b/>
        </w:rPr>
      </w:pPr>
      <w:r w:rsidRPr="00A3109C">
        <w:rPr>
          <w:rFonts w:asciiTheme="minorHAnsi" w:hAnsiTheme="minorHAnsi" w:cstheme="minorHAnsi"/>
          <w:b/>
        </w:rPr>
        <w:t>Kiedy powstanie lista wierzytelności?</w:t>
      </w:r>
    </w:p>
    <w:p w:rsidR="00A3109C" w:rsidRPr="00A3109C" w:rsidRDefault="00A3109C" w:rsidP="000707AC">
      <w:pPr>
        <w:pStyle w:val="Akapitzlist"/>
        <w:spacing w:after="0" w:line="360" w:lineRule="auto"/>
        <w:ind w:left="567"/>
        <w:jc w:val="both"/>
        <w:rPr>
          <w:rFonts w:asciiTheme="minorHAnsi" w:hAnsiTheme="minorHAnsi" w:cstheme="minorHAnsi"/>
          <w:b/>
        </w:rPr>
      </w:pPr>
    </w:p>
    <w:p w:rsidR="006F1CBE" w:rsidRDefault="006F1CBE" w:rsidP="000707AC">
      <w:pPr>
        <w:spacing w:after="0" w:line="360" w:lineRule="auto"/>
        <w:jc w:val="both"/>
        <w:rPr>
          <w:rFonts w:asciiTheme="minorHAnsi" w:hAnsiTheme="minorHAnsi" w:cstheme="minorHAnsi"/>
        </w:rPr>
      </w:pPr>
      <w:r w:rsidRPr="006F1CBE">
        <w:rPr>
          <w:rFonts w:asciiTheme="minorHAnsi" w:hAnsiTheme="minorHAnsi" w:cstheme="minorHAnsi"/>
        </w:rPr>
        <w:t>Po upływie terminu do zgłoszenia wierzytelności i sprawdzeniu zgłoszonych wierzytelności</w:t>
      </w:r>
      <w:r w:rsidR="00EF7C76">
        <w:rPr>
          <w:rFonts w:asciiTheme="minorHAnsi" w:hAnsiTheme="minorHAnsi" w:cstheme="minorHAnsi"/>
        </w:rPr>
        <w:t xml:space="preserve"> i przekazaniu ich do kancelarii syndyka,</w:t>
      </w:r>
      <w:r w:rsidRPr="006F1CBE">
        <w:rPr>
          <w:rFonts w:asciiTheme="minorHAnsi" w:hAnsiTheme="minorHAnsi" w:cstheme="minorHAnsi"/>
        </w:rPr>
        <w:t xml:space="preserve"> syndyk niezwłocznie sporządza listę wierzytelności, nie później niż w terminie dwóch miesięcy od upływu okresu przewidzianego do zgłaszania wierzytelności.</w:t>
      </w:r>
    </w:p>
    <w:p w:rsidR="00317515" w:rsidRDefault="00317515" w:rsidP="000707AC">
      <w:pPr>
        <w:spacing w:after="0" w:line="360" w:lineRule="auto"/>
        <w:jc w:val="both"/>
        <w:rPr>
          <w:rFonts w:asciiTheme="minorHAnsi" w:hAnsiTheme="minorHAnsi" w:cstheme="minorHAnsi"/>
        </w:rPr>
      </w:pPr>
    </w:p>
    <w:p w:rsidR="00317515" w:rsidRDefault="00317515" w:rsidP="000707AC">
      <w:pPr>
        <w:spacing w:after="0" w:line="360" w:lineRule="auto"/>
        <w:jc w:val="both"/>
        <w:rPr>
          <w:rFonts w:asciiTheme="minorHAnsi" w:hAnsiTheme="minorHAnsi" w:cstheme="minorHAnsi"/>
        </w:rPr>
      </w:pPr>
      <w:r>
        <w:rPr>
          <w:rFonts w:asciiTheme="minorHAnsi" w:hAnsiTheme="minorHAnsi" w:cstheme="minorHAnsi"/>
        </w:rPr>
        <w:t>Termin ten ma jednak jedynie instrukcyjny charakter</w:t>
      </w:r>
      <w:r w:rsidR="009A180E">
        <w:rPr>
          <w:rFonts w:asciiTheme="minorHAnsi" w:hAnsiTheme="minorHAnsi" w:cstheme="minorHAnsi"/>
        </w:rPr>
        <w:t xml:space="preserve"> – termin sporządzenia listy wierzytelności jest zależny m.in. od stopnia skomplikowania sprawy oraz liczby wierzycieli uczestniczących w danym postępowaniu.</w:t>
      </w:r>
    </w:p>
    <w:p w:rsidR="009A180E" w:rsidRDefault="009A180E" w:rsidP="000707AC">
      <w:pPr>
        <w:spacing w:after="0" w:line="360" w:lineRule="auto"/>
        <w:jc w:val="both"/>
        <w:rPr>
          <w:rFonts w:asciiTheme="minorHAnsi" w:hAnsiTheme="minorHAnsi" w:cstheme="minorHAnsi"/>
        </w:rPr>
      </w:pPr>
    </w:p>
    <w:p w:rsidR="009A180E" w:rsidRDefault="009A180E" w:rsidP="000707AC">
      <w:pPr>
        <w:spacing w:after="0" w:line="360" w:lineRule="auto"/>
        <w:jc w:val="both"/>
        <w:rPr>
          <w:rFonts w:asciiTheme="minorHAnsi" w:hAnsiTheme="minorHAnsi" w:cstheme="minorHAnsi"/>
        </w:rPr>
      </w:pPr>
      <w:r>
        <w:rPr>
          <w:rFonts w:asciiTheme="minorHAnsi" w:hAnsiTheme="minorHAnsi" w:cstheme="minorHAnsi"/>
        </w:rPr>
        <w:t xml:space="preserve">Prawo upadłościowe pozwala również na zgłoszenie wierzytelności po ustawowym terminie, a wtedy koniecznie może być sporządzenie uzupełniającej listy wierzytelności. </w:t>
      </w:r>
    </w:p>
    <w:p w:rsidR="00A3109C" w:rsidRPr="00A3109C" w:rsidRDefault="00A3109C" w:rsidP="000707AC">
      <w:pPr>
        <w:pStyle w:val="Akapitzlist"/>
        <w:spacing w:after="0" w:line="360" w:lineRule="auto"/>
        <w:ind w:left="567"/>
        <w:jc w:val="both"/>
        <w:rPr>
          <w:rFonts w:asciiTheme="minorHAnsi" w:hAnsiTheme="minorHAnsi" w:cstheme="minorHAnsi"/>
          <w:b/>
        </w:rPr>
      </w:pPr>
    </w:p>
    <w:p w:rsidR="009526E3" w:rsidRPr="00A3109C" w:rsidRDefault="009526E3" w:rsidP="000707AC">
      <w:pPr>
        <w:pStyle w:val="Akapitzlist"/>
        <w:numPr>
          <w:ilvl w:val="0"/>
          <w:numId w:val="1"/>
        </w:numPr>
        <w:spacing w:after="0" w:line="360" w:lineRule="auto"/>
        <w:ind w:left="567" w:hanging="567"/>
        <w:jc w:val="both"/>
        <w:rPr>
          <w:rFonts w:asciiTheme="minorHAnsi" w:hAnsiTheme="minorHAnsi" w:cstheme="minorHAnsi"/>
          <w:b/>
        </w:rPr>
      </w:pPr>
      <w:r w:rsidRPr="00A3109C">
        <w:rPr>
          <w:rFonts w:asciiTheme="minorHAnsi" w:hAnsiTheme="minorHAnsi" w:cstheme="minorHAnsi"/>
          <w:b/>
        </w:rPr>
        <w:t xml:space="preserve">Co zrobić, jeśli nie zgadzam się z treścią listy wierzytelności? </w:t>
      </w:r>
    </w:p>
    <w:p w:rsidR="00F63770" w:rsidRPr="00A3109C" w:rsidRDefault="00F63770" w:rsidP="000707AC">
      <w:pPr>
        <w:pStyle w:val="Akapitzlist"/>
        <w:spacing w:after="0" w:line="360" w:lineRule="auto"/>
        <w:ind w:left="567"/>
        <w:jc w:val="both"/>
        <w:rPr>
          <w:rFonts w:asciiTheme="minorHAnsi" w:hAnsiTheme="minorHAnsi" w:cstheme="minorHAnsi"/>
          <w:b/>
        </w:rPr>
      </w:pPr>
    </w:p>
    <w:p w:rsidR="0004119E" w:rsidRPr="00A3109C" w:rsidRDefault="0004119E" w:rsidP="000707AC">
      <w:pPr>
        <w:pStyle w:val="Akapitzlist"/>
        <w:spacing w:after="0" w:line="360" w:lineRule="auto"/>
        <w:ind w:left="0"/>
        <w:jc w:val="both"/>
        <w:rPr>
          <w:rFonts w:asciiTheme="minorHAnsi" w:hAnsiTheme="minorHAnsi" w:cstheme="minorHAnsi"/>
        </w:rPr>
      </w:pPr>
      <w:r w:rsidRPr="00A3109C">
        <w:rPr>
          <w:rFonts w:asciiTheme="minorHAnsi" w:hAnsiTheme="minorHAnsi" w:cstheme="minorHAnsi"/>
        </w:rPr>
        <w:t>W terminie dwóch tygodni od dnia obwieszczenia, o złożenia przez syndyka listy sędziemu</w:t>
      </w:r>
      <w:r w:rsidR="00A3109C" w:rsidRPr="00A3109C">
        <w:rPr>
          <w:rFonts w:asciiTheme="minorHAnsi" w:hAnsiTheme="minorHAnsi" w:cstheme="minorHAnsi"/>
        </w:rPr>
        <w:t xml:space="preserve"> </w:t>
      </w:r>
      <w:r w:rsidRPr="00A3109C">
        <w:rPr>
          <w:rFonts w:asciiTheme="minorHAnsi" w:hAnsiTheme="minorHAnsi" w:cstheme="minorHAnsi"/>
        </w:rPr>
        <w:t>komisarzowi, wierzyciel może złożyć do sędziego-komisarza sprzeciw co do:</w:t>
      </w:r>
    </w:p>
    <w:p w:rsidR="0004119E" w:rsidRPr="00A3109C" w:rsidRDefault="0004119E" w:rsidP="000707AC">
      <w:pPr>
        <w:pStyle w:val="Akapitzlist"/>
        <w:spacing w:after="0" w:line="360" w:lineRule="auto"/>
        <w:ind w:left="567"/>
        <w:jc w:val="both"/>
        <w:rPr>
          <w:rFonts w:asciiTheme="minorHAnsi" w:hAnsiTheme="minorHAnsi" w:cstheme="minorHAnsi"/>
        </w:rPr>
      </w:pPr>
    </w:p>
    <w:p w:rsidR="0004119E" w:rsidRPr="00A3109C" w:rsidRDefault="0004119E" w:rsidP="000707AC">
      <w:pPr>
        <w:pStyle w:val="Akapitzlist"/>
        <w:spacing w:after="0" w:line="360" w:lineRule="auto"/>
        <w:ind w:left="0"/>
        <w:jc w:val="both"/>
        <w:rPr>
          <w:rFonts w:asciiTheme="minorHAnsi" w:hAnsiTheme="minorHAnsi" w:cstheme="minorHAnsi"/>
        </w:rPr>
      </w:pPr>
      <w:r w:rsidRPr="00A3109C">
        <w:rPr>
          <w:rFonts w:asciiTheme="minorHAnsi" w:hAnsiTheme="minorHAnsi" w:cstheme="minorHAnsi"/>
        </w:rPr>
        <w:t>1) uznania wierzytelności - w przypadku wierzyciela umieszczonego na liście wierzytelności;</w:t>
      </w:r>
    </w:p>
    <w:p w:rsidR="00F63770" w:rsidRPr="00A3109C" w:rsidRDefault="0004119E" w:rsidP="000707AC">
      <w:pPr>
        <w:pStyle w:val="Akapitzlist"/>
        <w:spacing w:after="0" w:line="360" w:lineRule="auto"/>
        <w:ind w:left="0"/>
        <w:jc w:val="both"/>
        <w:rPr>
          <w:rFonts w:asciiTheme="minorHAnsi" w:hAnsiTheme="minorHAnsi" w:cstheme="minorHAnsi"/>
        </w:rPr>
      </w:pPr>
      <w:r w:rsidRPr="00A3109C">
        <w:rPr>
          <w:rFonts w:asciiTheme="minorHAnsi" w:hAnsiTheme="minorHAnsi" w:cstheme="minorHAnsi"/>
        </w:rPr>
        <w:t>2) odmowy uznania wierzytelności - w przypadku wierzyciela, któremu odmówiono uznania zgłoszonej wierzytelności.</w:t>
      </w:r>
    </w:p>
    <w:p w:rsidR="0004119E" w:rsidRPr="006C55B1" w:rsidRDefault="0004119E" w:rsidP="000707AC">
      <w:pPr>
        <w:spacing w:after="0" w:line="360" w:lineRule="auto"/>
        <w:jc w:val="both"/>
        <w:rPr>
          <w:rFonts w:asciiTheme="minorHAnsi" w:hAnsiTheme="minorHAnsi" w:cstheme="minorHAnsi"/>
          <w:b/>
        </w:rPr>
      </w:pPr>
    </w:p>
    <w:p w:rsidR="00136C3A" w:rsidRPr="00A3109C" w:rsidRDefault="009526E3" w:rsidP="000707AC">
      <w:pPr>
        <w:pStyle w:val="Akapitzlist"/>
        <w:numPr>
          <w:ilvl w:val="0"/>
          <w:numId w:val="1"/>
        </w:numPr>
        <w:spacing w:after="0" w:line="360" w:lineRule="auto"/>
        <w:ind w:left="567" w:hanging="567"/>
        <w:jc w:val="both"/>
        <w:rPr>
          <w:rFonts w:asciiTheme="minorHAnsi" w:hAnsiTheme="minorHAnsi" w:cstheme="minorHAnsi"/>
          <w:b/>
        </w:rPr>
      </w:pPr>
      <w:r w:rsidRPr="00A3109C">
        <w:rPr>
          <w:rFonts w:asciiTheme="minorHAnsi" w:hAnsiTheme="minorHAnsi" w:cstheme="minorHAnsi"/>
          <w:b/>
        </w:rPr>
        <w:t>Jestem jednocześnie wierzyciel i dłużnikiem upadłego – czy mogę dokonać potrącenia?</w:t>
      </w:r>
    </w:p>
    <w:p w:rsidR="00F63770" w:rsidRPr="00A3109C" w:rsidRDefault="00F63770" w:rsidP="000707AC">
      <w:pPr>
        <w:spacing w:after="0" w:line="360" w:lineRule="auto"/>
        <w:jc w:val="both"/>
        <w:rPr>
          <w:rFonts w:asciiTheme="minorHAnsi" w:hAnsiTheme="minorHAnsi" w:cstheme="minorHAnsi"/>
          <w:b/>
        </w:rPr>
      </w:pPr>
    </w:p>
    <w:p w:rsidR="00F63770" w:rsidRPr="00A3109C" w:rsidRDefault="00F63770" w:rsidP="000707AC">
      <w:pPr>
        <w:pStyle w:val="tekwzpod"/>
        <w:tabs>
          <w:tab w:val="clear" w:pos="3288"/>
          <w:tab w:val="clear" w:pos="3883"/>
        </w:tabs>
        <w:spacing w:after="0" w:line="360" w:lineRule="auto"/>
        <w:ind w:left="0" w:firstLine="0"/>
        <w:rPr>
          <w:rFonts w:asciiTheme="minorHAnsi" w:hAnsiTheme="minorHAnsi" w:cstheme="minorHAnsi"/>
          <w:sz w:val="22"/>
          <w:szCs w:val="22"/>
        </w:rPr>
      </w:pPr>
      <w:r w:rsidRPr="00A3109C">
        <w:rPr>
          <w:rFonts w:asciiTheme="minorHAnsi" w:hAnsiTheme="minorHAnsi" w:cstheme="minorHAnsi"/>
          <w:sz w:val="22"/>
          <w:szCs w:val="22"/>
        </w:rPr>
        <w:t xml:space="preserve">Prawo upadłościowe modyfikuje standardowe zasady dokonywania potrąceń wzajemnych wierzytelności. Po ogłoszeniu upadłości potrącenie wierzytelności </w:t>
      </w:r>
      <w:r w:rsidRPr="00A3109C">
        <w:rPr>
          <w:rFonts w:asciiTheme="minorHAnsi" w:hAnsiTheme="minorHAnsi" w:cstheme="minorHAnsi"/>
          <w:b/>
          <w:sz w:val="22"/>
          <w:szCs w:val="22"/>
        </w:rPr>
        <w:t>jest</w:t>
      </w:r>
      <w:r w:rsidRPr="00A3109C">
        <w:rPr>
          <w:rFonts w:asciiTheme="minorHAnsi" w:hAnsiTheme="minorHAnsi" w:cstheme="minorHAnsi"/>
          <w:sz w:val="22"/>
          <w:szCs w:val="22"/>
        </w:rPr>
        <w:t xml:space="preserve"> dopuszczalne:</w:t>
      </w:r>
    </w:p>
    <w:p w:rsidR="00A3109C" w:rsidRPr="00A3109C" w:rsidRDefault="00A3109C" w:rsidP="000707AC">
      <w:pPr>
        <w:pStyle w:val="tekwzpod"/>
        <w:tabs>
          <w:tab w:val="clear" w:pos="3288"/>
          <w:tab w:val="clear" w:pos="3883"/>
        </w:tabs>
        <w:spacing w:after="0" w:line="360" w:lineRule="auto"/>
        <w:ind w:left="0" w:firstLine="567"/>
        <w:rPr>
          <w:rFonts w:asciiTheme="minorHAnsi" w:hAnsiTheme="minorHAnsi" w:cstheme="minorHAnsi"/>
          <w:sz w:val="22"/>
          <w:szCs w:val="22"/>
        </w:rPr>
      </w:pPr>
    </w:p>
    <w:p w:rsidR="00F63770" w:rsidRPr="00A3109C" w:rsidRDefault="00F63770" w:rsidP="000707AC">
      <w:pPr>
        <w:pStyle w:val="tekwzpod"/>
        <w:numPr>
          <w:ilvl w:val="0"/>
          <w:numId w:val="2"/>
        </w:numPr>
        <w:tabs>
          <w:tab w:val="clear" w:pos="3288"/>
          <w:tab w:val="clear" w:pos="3883"/>
        </w:tabs>
        <w:spacing w:after="0" w:line="360" w:lineRule="auto"/>
        <w:ind w:left="567" w:hanging="567"/>
        <w:rPr>
          <w:rFonts w:asciiTheme="minorHAnsi" w:hAnsiTheme="minorHAnsi" w:cstheme="minorHAnsi"/>
          <w:sz w:val="22"/>
          <w:szCs w:val="22"/>
        </w:rPr>
      </w:pPr>
      <w:r w:rsidRPr="00A3109C">
        <w:rPr>
          <w:rFonts w:asciiTheme="minorHAnsi" w:hAnsiTheme="minorHAnsi" w:cstheme="minorHAnsi"/>
          <w:sz w:val="22"/>
          <w:szCs w:val="22"/>
        </w:rPr>
        <w:t>jeśli istniały w dniu ogłoszenia upadłości, chociażby termin wymagalności jednej z nich jeszcze nie nastąpił;</w:t>
      </w:r>
    </w:p>
    <w:p w:rsidR="00F63770" w:rsidRPr="00A3109C" w:rsidRDefault="00F63770" w:rsidP="000707AC">
      <w:pPr>
        <w:pStyle w:val="tekwzpod"/>
        <w:numPr>
          <w:ilvl w:val="0"/>
          <w:numId w:val="2"/>
        </w:numPr>
        <w:tabs>
          <w:tab w:val="clear" w:pos="3288"/>
          <w:tab w:val="clear" w:pos="3883"/>
        </w:tabs>
        <w:spacing w:after="0" w:line="360" w:lineRule="auto"/>
        <w:ind w:left="567" w:hanging="567"/>
        <w:rPr>
          <w:rFonts w:asciiTheme="minorHAnsi" w:hAnsiTheme="minorHAnsi" w:cstheme="minorHAnsi"/>
          <w:sz w:val="22"/>
          <w:szCs w:val="22"/>
        </w:rPr>
      </w:pPr>
      <w:r w:rsidRPr="00A3109C">
        <w:rPr>
          <w:rFonts w:asciiTheme="minorHAnsi" w:hAnsiTheme="minorHAnsi" w:cstheme="minorHAnsi"/>
          <w:sz w:val="22"/>
          <w:szCs w:val="22"/>
        </w:rPr>
        <w:t xml:space="preserve">jeżeli nabywca stał się wierzycielem upadłego wskutek spłacenia jego długu, za który odpowiadał osobiście albo określonymi przedmiotami majątkowymi, i jeżeli nabywca w czasie, gdy przyjął odpowiedzialność za dług upadłego, nie wiedział o istnieniu podstaw do </w:t>
      </w:r>
      <w:r w:rsidRPr="00A3109C">
        <w:rPr>
          <w:rFonts w:asciiTheme="minorHAnsi" w:hAnsiTheme="minorHAnsi" w:cstheme="minorHAnsi"/>
          <w:sz w:val="22"/>
          <w:szCs w:val="22"/>
        </w:rPr>
        <w:lastRenderedPageBreak/>
        <w:t>ogłoszenia upadłości (potrącenie jest zawsze dopuszczalne, jeżeli przyjęcie odpowiedzialności nastąpiło na rok przed dniem ogłoszenia upadłości)</w:t>
      </w:r>
    </w:p>
    <w:p w:rsidR="00F63770" w:rsidRPr="00A3109C" w:rsidRDefault="00F63770" w:rsidP="000707AC">
      <w:pPr>
        <w:pStyle w:val="tekwzpod"/>
        <w:tabs>
          <w:tab w:val="clear" w:pos="3288"/>
          <w:tab w:val="clear" w:pos="3883"/>
        </w:tabs>
        <w:spacing w:after="0" w:line="360" w:lineRule="auto"/>
        <w:ind w:left="927" w:firstLine="0"/>
        <w:rPr>
          <w:rFonts w:asciiTheme="minorHAnsi" w:hAnsiTheme="minorHAnsi" w:cstheme="minorHAnsi"/>
          <w:sz w:val="22"/>
          <w:szCs w:val="22"/>
        </w:rPr>
      </w:pPr>
    </w:p>
    <w:p w:rsidR="00F63770" w:rsidRPr="00A3109C" w:rsidRDefault="00F63770" w:rsidP="000707AC">
      <w:pPr>
        <w:pStyle w:val="tekwzpod"/>
        <w:tabs>
          <w:tab w:val="clear" w:pos="3288"/>
          <w:tab w:val="clear" w:pos="3883"/>
        </w:tabs>
        <w:spacing w:after="0" w:line="360" w:lineRule="auto"/>
        <w:ind w:left="0" w:firstLine="0"/>
        <w:rPr>
          <w:rFonts w:asciiTheme="minorHAnsi" w:hAnsiTheme="minorHAnsi" w:cstheme="minorHAnsi"/>
          <w:sz w:val="22"/>
          <w:szCs w:val="22"/>
        </w:rPr>
      </w:pPr>
      <w:r w:rsidRPr="00A3109C">
        <w:rPr>
          <w:rFonts w:asciiTheme="minorHAnsi" w:hAnsiTheme="minorHAnsi" w:cstheme="minorHAnsi"/>
          <w:sz w:val="22"/>
          <w:szCs w:val="22"/>
        </w:rPr>
        <w:t xml:space="preserve">Potrącenie </w:t>
      </w:r>
      <w:r w:rsidRPr="00A3109C">
        <w:rPr>
          <w:rFonts w:asciiTheme="minorHAnsi" w:hAnsiTheme="minorHAnsi" w:cstheme="minorHAnsi"/>
          <w:b/>
          <w:sz w:val="22"/>
          <w:szCs w:val="22"/>
        </w:rPr>
        <w:t>nie jest</w:t>
      </w:r>
      <w:r w:rsidRPr="00A3109C">
        <w:rPr>
          <w:rFonts w:asciiTheme="minorHAnsi" w:hAnsiTheme="minorHAnsi" w:cstheme="minorHAnsi"/>
          <w:sz w:val="22"/>
          <w:szCs w:val="22"/>
        </w:rPr>
        <w:t xml:space="preserve"> natomiast dopuszczalne:</w:t>
      </w:r>
    </w:p>
    <w:p w:rsidR="00A3109C" w:rsidRPr="00A3109C" w:rsidRDefault="00A3109C" w:rsidP="000707AC">
      <w:pPr>
        <w:pStyle w:val="tekwzpod"/>
        <w:tabs>
          <w:tab w:val="clear" w:pos="3288"/>
          <w:tab w:val="clear" w:pos="3883"/>
        </w:tabs>
        <w:spacing w:after="0" w:line="360" w:lineRule="auto"/>
        <w:ind w:left="567" w:firstLine="0"/>
        <w:rPr>
          <w:rFonts w:asciiTheme="minorHAnsi" w:hAnsiTheme="minorHAnsi" w:cstheme="minorHAnsi"/>
          <w:sz w:val="22"/>
          <w:szCs w:val="22"/>
        </w:rPr>
      </w:pPr>
    </w:p>
    <w:p w:rsidR="00F63770" w:rsidRPr="00A3109C" w:rsidRDefault="00F63770" w:rsidP="000707AC">
      <w:pPr>
        <w:pStyle w:val="tekwzpod"/>
        <w:numPr>
          <w:ilvl w:val="0"/>
          <w:numId w:val="3"/>
        </w:numPr>
        <w:tabs>
          <w:tab w:val="clear" w:pos="3288"/>
          <w:tab w:val="clear" w:pos="3883"/>
        </w:tabs>
        <w:spacing w:after="0" w:line="360" w:lineRule="auto"/>
        <w:ind w:left="567" w:hanging="567"/>
        <w:rPr>
          <w:rFonts w:asciiTheme="minorHAnsi" w:hAnsiTheme="minorHAnsi" w:cstheme="minorHAnsi"/>
          <w:sz w:val="22"/>
          <w:szCs w:val="22"/>
        </w:rPr>
      </w:pPr>
      <w:r w:rsidRPr="00A3109C">
        <w:rPr>
          <w:rFonts w:asciiTheme="minorHAnsi" w:hAnsiTheme="minorHAnsi" w:cstheme="minorHAnsi"/>
          <w:sz w:val="22"/>
          <w:szCs w:val="22"/>
        </w:rPr>
        <w:t>jeżeli dłużnik upadłego nabył wierzytelność w drodze przelewu lub indosu po ogłoszeniu upadłości albo nabył ją w ciągu ostatniego roku przed dniem ogłoszenia upadłości, wiedząc o istnieniu podstawy do ogłoszenia upadłości;</w:t>
      </w:r>
    </w:p>
    <w:p w:rsidR="00F63770" w:rsidRPr="00A3109C" w:rsidRDefault="00F63770" w:rsidP="000707AC">
      <w:pPr>
        <w:numPr>
          <w:ilvl w:val="0"/>
          <w:numId w:val="3"/>
        </w:numPr>
        <w:suppressAutoHyphens/>
        <w:spacing w:after="0" w:line="360" w:lineRule="auto"/>
        <w:ind w:left="567" w:hanging="567"/>
        <w:jc w:val="both"/>
        <w:textAlignment w:val="baseline"/>
        <w:rPr>
          <w:rFonts w:asciiTheme="minorHAnsi" w:eastAsia="Arial" w:hAnsiTheme="minorHAnsi" w:cstheme="minorHAnsi"/>
          <w:color w:val="00000A"/>
        </w:rPr>
      </w:pPr>
      <w:r w:rsidRPr="00A3109C">
        <w:rPr>
          <w:rFonts w:asciiTheme="minorHAnsi" w:eastAsia="Arial" w:hAnsiTheme="minorHAnsi" w:cstheme="minorHAnsi"/>
          <w:color w:val="00000A"/>
        </w:rPr>
        <w:t>jeżeli wierzyciel stał się dłużnikiem upadłego po dniu ogłoszenia upadłości.</w:t>
      </w:r>
    </w:p>
    <w:p w:rsidR="00F63770" w:rsidRPr="00A3109C" w:rsidRDefault="00F63770" w:rsidP="000707AC">
      <w:pPr>
        <w:pStyle w:val="tekwzpod"/>
        <w:tabs>
          <w:tab w:val="clear" w:pos="3288"/>
          <w:tab w:val="clear" w:pos="3883"/>
        </w:tabs>
        <w:spacing w:after="0" w:line="360" w:lineRule="auto"/>
        <w:ind w:left="567" w:firstLine="0"/>
        <w:rPr>
          <w:rFonts w:asciiTheme="minorHAnsi" w:hAnsiTheme="minorHAnsi" w:cstheme="minorHAnsi"/>
          <w:sz w:val="22"/>
          <w:szCs w:val="22"/>
        </w:rPr>
      </w:pPr>
    </w:p>
    <w:p w:rsidR="00F63770" w:rsidRPr="00A3109C" w:rsidRDefault="00F63770" w:rsidP="000707AC">
      <w:pPr>
        <w:pStyle w:val="tekwzpod"/>
        <w:tabs>
          <w:tab w:val="clear" w:pos="3288"/>
          <w:tab w:val="clear" w:pos="3883"/>
        </w:tabs>
        <w:spacing w:after="0" w:line="360" w:lineRule="auto"/>
        <w:ind w:left="0" w:firstLine="0"/>
        <w:rPr>
          <w:rFonts w:asciiTheme="minorHAnsi" w:hAnsiTheme="minorHAnsi" w:cstheme="minorHAnsi"/>
          <w:sz w:val="22"/>
          <w:szCs w:val="22"/>
        </w:rPr>
      </w:pPr>
      <w:r w:rsidRPr="00A3109C">
        <w:rPr>
          <w:rFonts w:asciiTheme="minorHAnsi" w:hAnsiTheme="minorHAnsi" w:cstheme="minorHAnsi"/>
          <w:sz w:val="22"/>
          <w:szCs w:val="22"/>
        </w:rPr>
        <w:t xml:space="preserve">Szczegółowe informacje w tym zakresie zostały zawarte w art. 93 – 95 </w:t>
      </w:r>
      <w:proofErr w:type="spellStart"/>
      <w:r w:rsidRPr="00A3109C">
        <w:rPr>
          <w:rFonts w:asciiTheme="minorHAnsi" w:hAnsiTheme="minorHAnsi" w:cstheme="minorHAnsi"/>
          <w:sz w:val="22"/>
          <w:szCs w:val="22"/>
        </w:rPr>
        <w:t>pu</w:t>
      </w:r>
      <w:proofErr w:type="spellEnd"/>
      <w:r w:rsidRPr="00A3109C">
        <w:rPr>
          <w:rFonts w:asciiTheme="minorHAnsi" w:hAnsiTheme="minorHAnsi" w:cstheme="minorHAnsi"/>
          <w:sz w:val="22"/>
          <w:szCs w:val="22"/>
        </w:rPr>
        <w:t>;</w:t>
      </w:r>
    </w:p>
    <w:p w:rsidR="00F63770" w:rsidRPr="00A3109C" w:rsidRDefault="00F63770" w:rsidP="000707AC">
      <w:pPr>
        <w:pStyle w:val="tekwzpod"/>
        <w:tabs>
          <w:tab w:val="clear" w:pos="3288"/>
          <w:tab w:val="clear" w:pos="3883"/>
        </w:tabs>
        <w:spacing w:after="0" w:line="360" w:lineRule="auto"/>
        <w:ind w:left="0" w:firstLine="567"/>
        <w:rPr>
          <w:rFonts w:asciiTheme="minorHAnsi" w:hAnsiTheme="minorHAnsi" w:cstheme="minorHAnsi"/>
          <w:sz w:val="22"/>
          <w:szCs w:val="22"/>
        </w:rPr>
      </w:pPr>
    </w:p>
    <w:p w:rsidR="009526E3" w:rsidRPr="003B1475" w:rsidRDefault="00F63770" w:rsidP="000707AC">
      <w:pPr>
        <w:pStyle w:val="tekwzpod"/>
        <w:tabs>
          <w:tab w:val="clear" w:pos="3288"/>
          <w:tab w:val="clear" w:pos="3883"/>
        </w:tabs>
        <w:spacing w:after="0" w:line="360" w:lineRule="auto"/>
        <w:ind w:left="0" w:firstLine="0"/>
        <w:rPr>
          <w:rFonts w:asciiTheme="minorHAnsi" w:hAnsiTheme="minorHAnsi" w:cstheme="minorHAnsi"/>
          <w:sz w:val="22"/>
          <w:szCs w:val="22"/>
        </w:rPr>
      </w:pPr>
      <w:r w:rsidRPr="00A3109C">
        <w:rPr>
          <w:rFonts w:asciiTheme="minorHAnsi" w:hAnsiTheme="minorHAnsi" w:cstheme="minorHAnsi"/>
          <w:sz w:val="22"/>
          <w:szCs w:val="22"/>
        </w:rPr>
        <w:t xml:space="preserve">Co ważne – oświadczenie o potrąceniu może zostać złożone </w:t>
      </w:r>
      <w:r w:rsidRPr="00A3109C">
        <w:rPr>
          <w:rFonts w:asciiTheme="minorHAnsi" w:hAnsiTheme="minorHAnsi" w:cstheme="minorHAnsi"/>
          <w:b/>
          <w:sz w:val="22"/>
          <w:szCs w:val="22"/>
        </w:rPr>
        <w:t>najpóźniej</w:t>
      </w:r>
      <w:r w:rsidRPr="00A3109C">
        <w:rPr>
          <w:rFonts w:asciiTheme="minorHAnsi" w:hAnsiTheme="minorHAnsi" w:cstheme="minorHAnsi"/>
          <w:sz w:val="22"/>
          <w:szCs w:val="22"/>
        </w:rPr>
        <w:t xml:space="preserve"> wraz ze zgłoszeniem wierzytelności (art. 96 </w:t>
      </w:r>
      <w:proofErr w:type="spellStart"/>
      <w:r w:rsidRPr="00A3109C">
        <w:rPr>
          <w:rFonts w:asciiTheme="minorHAnsi" w:hAnsiTheme="minorHAnsi" w:cstheme="minorHAnsi"/>
          <w:sz w:val="22"/>
          <w:szCs w:val="22"/>
        </w:rPr>
        <w:t>pu</w:t>
      </w:r>
      <w:proofErr w:type="spellEnd"/>
      <w:r w:rsidRPr="00A3109C">
        <w:rPr>
          <w:rFonts w:asciiTheme="minorHAnsi" w:hAnsiTheme="minorHAnsi" w:cstheme="minorHAnsi"/>
          <w:sz w:val="22"/>
          <w:szCs w:val="22"/>
        </w:rPr>
        <w:t xml:space="preserve">). </w:t>
      </w:r>
      <w:bookmarkEnd w:id="0"/>
    </w:p>
    <w:sectPr w:rsidR="009526E3" w:rsidRPr="003B14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PL SwitzerlandCondensed">
    <w:altName w:val="Arial"/>
    <w:charset w:val="EE"/>
    <w:family w:val="roman"/>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6359D"/>
    <w:multiLevelType w:val="hybridMultilevel"/>
    <w:tmpl w:val="CB82CDB6"/>
    <w:lvl w:ilvl="0" w:tplc="CDB63E8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3B335A1B"/>
    <w:multiLevelType w:val="hybridMultilevel"/>
    <w:tmpl w:val="20AA7FA2"/>
    <w:lvl w:ilvl="0" w:tplc="50F652AC">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47931554"/>
    <w:multiLevelType w:val="hybridMultilevel"/>
    <w:tmpl w:val="79067808"/>
    <w:lvl w:ilvl="0" w:tplc="625A7D54">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3A"/>
    <w:rsid w:val="000057C4"/>
    <w:rsid w:val="0004119E"/>
    <w:rsid w:val="000707AC"/>
    <w:rsid w:val="00136C3A"/>
    <w:rsid w:val="00317515"/>
    <w:rsid w:val="003B1475"/>
    <w:rsid w:val="00577B2F"/>
    <w:rsid w:val="006C55B1"/>
    <w:rsid w:val="006F1CBE"/>
    <w:rsid w:val="008414FE"/>
    <w:rsid w:val="009131AE"/>
    <w:rsid w:val="009526E3"/>
    <w:rsid w:val="009A180E"/>
    <w:rsid w:val="009B7B70"/>
    <w:rsid w:val="00A3109C"/>
    <w:rsid w:val="00D94922"/>
    <w:rsid w:val="00EE1E34"/>
    <w:rsid w:val="00EF7C76"/>
    <w:rsid w:val="00F637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ADC38"/>
  <w15:chartTrackingRefBased/>
  <w15:docId w15:val="{F2E91B08-E44E-4E66-9F67-DC079496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6C3A"/>
    <w:pPr>
      <w:ind w:left="720"/>
      <w:contextualSpacing/>
    </w:pPr>
  </w:style>
  <w:style w:type="paragraph" w:customStyle="1" w:styleId="tekwz">
    <w:name w:val="tekwz"/>
    <w:rsid w:val="008414FE"/>
    <w:pPr>
      <w:widowControl w:val="0"/>
      <w:tabs>
        <w:tab w:val="left" w:pos="1134"/>
        <w:tab w:val="left" w:pos="1701"/>
        <w:tab w:val="left" w:pos="2268"/>
        <w:tab w:val="left" w:pos="2835"/>
        <w:tab w:val="left" w:pos="3402"/>
        <w:tab w:val="left" w:pos="3969"/>
        <w:tab w:val="left" w:pos="4535"/>
        <w:tab w:val="left" w:pos="5102"/>
        <w:tab w:val="left" w:pos="5669"/>
        <w:tab w:val="left" w:pos="6236"/>
        <w:tab w:val="left" w:pos="6803"/>
      </w:tabs>
      <w:suppressAutoHyphens/>
      <w:autoSpaceDE w:val="0"/>
      <w:spacing w:after="200" w:line="220" w:lineRule="atLeast"/>
      <w:ind w:left="567" w:right="567"/>
      <w:jc w:val="both"/>
      <w:textAlignment w:val="baseline"/>
    </w:pPr>
    <w:rPr>
      <w:rFonts w:ascii="PL SwitzerlandCondensed" w:eastAsia="Arial" w:hAnsi="PL SwitzerlandCondensed" w:cs="PL SwitzerlandCondensed"/>
      <w:kern w:val="1"/>
      <w:sz w:val="19"/>
      <w:szCs w:val="19"/>
      <w:lang w:eastAsia="zh-CN"/>
    </w:rPr>
  </w:style>
  <w:style w:type="character" w:styleId="Hipercze">
    <w:name w:val="Hyperlink"/>
    <w:rsid w:val="008414FE"/>
    <w:rPr>
      <w:color w:val="0000FF"/>
      <w:u w:val="single"/>
    </w:rPr>
  </w:style>
  <w:style w:type="paragraph" w:customStyle="1" w:styleId="tekwzpod">
    <w:name w:val="tekwzpod"/>
    <w:rsid w:val="00F63770"/>
    <w:pPr>
      <w:widowControl w:val="0"/>
      <w:tabs>
        <w:tab w:val="left" w:pos="3288"/>
        <w:tab w:val="left" w:leader="dot" w:pos="3883"/>
      </w:tabs>
      <w:suppressAutoHyphens/>
      <w:overflowPunct w:val="0"/>
      <w:spacing w:after="200" w:line="220" w:lineRule="atLeast"/>
      <w:ind w:left="822" w:right="567" w:hanging="255"/>
      <w:jc w:val="both"/>
      <w:textAlignment w:val="baseline"/>
    </w:pPr>
    <w:rPr>
      <w:rFonts w:ascii="PL SwitzerlandCondensed" w:eastAsia="Arial" w:hAnsi="PL SwitzerlandCondensed" w:cs="PL SwitzerlandCondensed"/>
      <w:color w:val="00000A"/>
      <w:kern w:val="1"/>
      <w:sz w:val="19"/>
      <w:szCs w:val="19"/>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07">
      <w:bodyDiv w:val="1"/>
      <w:marLeft w:val="0"/>
      <w:marRight w:val="0"/>
      <w:marTop w:val="0"/>
      <w:marBottom w:val="0"/>
      <w:divBdr>
        <w:top w:val="none" w:sz="0" w:space="0" w:color="auto"/>
        <w:left w:val="none" w:sz="0" w:space="0" w:color="auto"/>
        <w:bottom w:val="none" w:sz="0" w:space="0" w:color="auto"/>
        <w:right w:val="none" w:sz="0" w:space="0" w:color="auto"/>
      </w:divBdr>
      <w:divsChild>
        <w:div w:id="1779911692">
          <w:marLeft w:val="0"/>
          <w:marRight w:val="0"/>
          <w:marTop w:val="0"/>
          <w:marBottom w:val="0"/>
          <w:divBdr>
            <w:top w:val="none" w:sz="0" w:space="0" w:color="auto"/>
            <w:left w:val="none" w:sz="0" w:space="0" w:color="auto"/>
            <w:bottom w:val="none" w:sz="0" w:space="0" w:color="auto"/>
            <w:right w:val="none" w:sz="0" w:space="0" w:color="auto"/>
          </w:divBdr>
        </w:div>
      </w:divsChild>
    </w:div>
    <w:div w:id="313530058">
      <w:bodyDiv w:val="1"/>
      <w:marLeft w:val="0"/>
      <w:marRight w:val="0"/>
      <w:marTop w:val="0"/>
      <w:marBottom w:val="0"/>
      <w:divBdr>
        <w:top w:val="none" w:sz="0" w:space="0" w:color="auto"/>
        <w:left w:val="none" w:sz="0" w:space="0" w:color="auto"/>
        <w:bottom w:val="none" w:sz="0" w:space="0" w:color="auto"/>
        <w:right w:val="none" w:sz="0" w:space="0" w:color="auto"/>
      </w:divBdr>
      <w:divsChild>
        <w:div w:id="208539463">
          <w:marLeft w:val="360"/>
          <w:marRight w:val="0"/>
          <w:marTop w:val="72"/>
          <w:marBottom w:val="72"/>
          <w:divBdr>
            <w:top w:val="none" w:sz="0" w:space="0" w:color="auto"/>
            <w:left w:val="none" w:sz="0" w:space="0" w:color="auto"/>
            <w:bottom w:val="none" w:sz="0" w:space="0" w:color="auto"/>
            <w:right w:val="none" w:sz="0" w:space="0" w:color="auto"/>
          </w:divBdr>
        </w:div>
        <w:div w:id="681855192">
          <w:marLeft w:val="360"/>
          <w:marRight w:val="0"/>
          <w:marTop w:val="0"/>
          <w:marBottom w:val="72"/>
          <w:divBdr>
            <w:top w:val="none" w:sz="0" w:space="0" w:color="auto"/>
            <w:left w:val="none" w:sz="0" w:space="0" w:color="auto"/>
            <w:bottom w:val="none" w:sz="0" w:space="0" w:color="auto"/>
            <w:right w:val="none" w:sz="0" w:space="0" w:color="auto"/>
          </w:divBdr>
        </w:div>
      </w:divsChild>
    </w:div>
    <w:div w:id="367991810">
      <w:bodyDiv w:val="1"/>
      <w:marLeft w:val="0"/>
      <w:marRight w:val="0"/>
      <w:marTop w:val="0"/>
      <w:marBottom w:val="0"/>
      <w:divBdr>
        <w:top w:val="none" w:sz="0" w:space="0" w:color="auto"/>
        <w:left w:val="none" w:sz="0" w:space="0" w:color="auto"/>
        <w:bottom w:val="none" w:sz="0" w:space="0" w:color="auto"/>
        <w:right w:val="none" w:sz="0" w:space="0" w:color="auto"/>
      </w:divBdr>
      <w:divsChild>
        <w:div w:id="170266239">
          <w:marLeft w:val="0"/>
          <w:marRight w:val="0"/>
          <w:marTop w:val="0"/>
          <w:marBottom w:val="0"/>
          <w:divBdr>
            <w:top w:val="none" w:sz="0" w:space="0" w:color="auto"/>
            <w:left w:val="none" w:sz="0" w:space="0" w:color="auto"/>
            <w:bottom w:val="none" w:sz="0" w:space="0" w:color="auto"/>
            <w:right w:val="none" w:sz="0" w:space="0" w:color="auto"/>
          </w:divBdr>
        </w:div>
      </w:divsChild>
    </w:div>
    <w:div w:id="937100574">
      <w:bodyDiv w:val="1"/>
      <w:marLeft w:val="0"/>
      <w:marRight w:val="0"/>
      <w:marTop w:val="0"/>
      <w:marBottom w:val="0"/>
      <w:divBdr>
        <w:top w:val="none" w:sz="0" w:space="0" w:color="auto"/>
        <w:left w:val="none" w:sz="0" w:space="0" w:color="auto"/>
        <w:bottom w:val="none" w:sz="0" w:space="0" w:color="auto"/>
        <w:right w:val="none" w:sz="0" w:space="0" w:color="auto"/>
      </w:divBdr>
      <w:divsChild>
        <w:div w:id="743524475">
          <w:marLeft w:val="0"/>
          <w:marRight w:val="0"/>
          <w:marTop w:val="0"/>
          <w:marBottom w:val="0"/>
          <w:divBdr>
            <w:top w:val="none" w:sz="0" w:space="0" w:color="auto"/>
            <w:left w:val="none" w:sz="0" w:space="0" w:color="auto"/>
            <w:bottom w:val="none" w:sz="0" w:space="0" w:color="auto"/>
            <w:right w:val="none" w:sz="0" w:space="0" w:color="auto"/>
          </w:divBdr>
        </w:div>
      </w:divsChild>
    </w:div>
    <w:div w:id="1432433949">
      <w:bodyDiv w:val="1"/>
      <w:marLeft w:val="0"/>
      <w:marRight w:val="0"/>
      <w:marTop w:val="0"/>
      <w:marBottom w:val="0"/>
      <w:divBdr>
        <w:top w:val="none" w:sz="0" w:space="0" w:color="auto"/>
        <w:left w:val="none" w:sz="0" w:space="0" w:color="auto"/>
        <w:bottom w:val="none" w:sz="0" w:space="0" w:color="auto"/>
        <w:right w:val="none" w:sz="0" w:space="0" w:color="auto"/>
      </w:divBdr>
      <w:divsChild>
        <w:div w:id="2056460886">
          <w:marLeft w:val="0"/>
          <w:marRight w:val="0"/>
          <w:marTop w:val="0"/>
          <w:marBottom w:val="0"/>
          <w:divBdr>
            <w:top w:val="none" w:sz="0" w:space="0" w:color="auto"/>
            <w:left w:val="none" w:sz="0" w:space="0" w:color="auto"/>
            <w:bottom w:val="none" w:sz="0" w:space="0" w:color="auto"/>
            <w:right w:val="none" w:sz="0" w:space="0" w:color="auto"/>
          </w:divBdr>
        </w:div>
      </w:divsChild>
    </w:div>
    <w:div w:id="2055108565">
      <w:bodyDiv w:val="1"/>
      <w:marLeft w:val="0"/>
      <w:marRight w:val="0"/>
      <w:marTop w:val="0"/>
      <w:marBottom w:val="0"/>
      <w:divBdr>
        <w:top w:val="none" w:sz="0" w:space="0" w:color="auto"/>
        <w:left w:val="none" w:sz="0" w:space="0" w:color="auto"/>
        <w:bottom w:val="none" w:sz="0" w:space="0" w:color="auto"/>
        <w:right w:val="none" w:sz="0" w:space="0" w:color="auto"/>
      </w:divBdr>
      <w:divsChild>
        <w:div w:id="39651534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s.gov.pl/pl/restrukturyzacja-i-upadlosc/wzory-stosowane-w-postepowaniu-upadlosciowy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927</Words>
  <Characters>5566</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Węgliński</dc:creator>
  <cp:keywords/>
  <dc:description/>
  <cp:lastModifiedBy>Marcin Krzemiński</cp:lastModifiedBy>
  <cp:revision>5</cp:revision>
  <dcterms:created xsi:type="dcterms:W3CDTF">2018-08-31T14:02:00Z</dcterms:created>
  <dcterms:modified xsi:type="dcterms:W3CDTF">2018-08-31T14:04:00Z</dcterms:modified>
</cp:coreProperties>
</file>